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4252" w:rsidRPr="00EE31E9" w:rsidRDefault="00EE31E9" w:rsidP="00EE31E9">
      <w:pPr>
        <w:bidi/>
        <w:spacing w:after="0" w:line="360" w:lineRule="auto"/>
        <w:jc w:val="center"/>
        <w:rPr>
          <w:rFonts w:asciiTheme="majorBidi" w:hAnsiTheme="majorBidi" w:cstheme="majorBidi"/>
          <w:b/>
          <w:bCs/>
          <w:color w:val="C00000"/>
          <w:sz w:val="36"/>
          <w:szCs w:val="36"/>
          <w:rtl/>
        </w:rPr>
      </w:pPr>
      <w:r w:rsidRPr="00EE31E9">
        <w:rPr>
          <w:rFonts w:asciiTheme="majorBidi" w:hAnsiTheme="majorBidi" w:cstheme="majorBidi"/>
          <w:b/>
          <w:bCs/>
          <w:color w:val="C00000"/>
          <w:sz w:val="36"/>
          <w:szCs w:val="36"/>
          <w:rtl/>
        </w:rPr>
        <w:t>اندیشهء سیاسی فردوسی درباره</w:t>
      </w:r>
      <w:r w:rsidRPr="00EE31E9">
        <w:rPr>
          <w:rFonts w:asciiTheme="majorBidi" w:hAnsiTheme="majorBidi" w:cstheme="majorBidi" w:hint="cs"/>
          <w:b/>
          <w:bCs/>
          <w:color w:val="C00000"/>
          <w:sz w:val="36"/>
          <w:szCs w:val="36"/>
          <w:rtl/>
        </w:rPr>
        <w:t>ء</w:t>
      </w:r>
      <w:r w:rsidRPr="00EE31E9">
        <w:rPr>
          <w:rFonts w:asciiTheme="majorBidi" w:hAnsiTheme="majorBidi" w:cstheme="majorBidi"/>
          <w:b/>
          <w:bCs/>
          <w:color w:val="C00000"/>
          <w:sz w:val="36"/>
          <w:szCs w:val="36"/>
          <w:rtl/>
        </w:rPr>
        <w:t xml:space="preserve"> دوران گذار</w:t>
      </w:r>
    </w:p>
    <w:p w:rsidR="00EE31E9" w:rsidRPr="00EE31E9" w:rsidRDefault="00EE31E9" w:rsidP="00EE31E9">
      <w:pPr>
        <w:bidi/>
        <w:spacing w:after="0" w:line="360" w:lineRule="auto"/>
        <w:jc w:val="center"/>
        <w:rPr>
          <w:rFonts w:asciiTheme="majorBidi" w:hAnsiTheme="majorBidi" w:cstheme="majorBidi"/>
          <w:b/>
          <w:bCs/>
          <w:sz w:val="24"/>
          <w:szCs w:val="24"/>
          <w:rtl/>
        </w:rPr>
      </w:pPr>
      <w:r w:rsidRPr="00EE31E9">
        <w:rPr>
          <w:rFonts w:asciiTheme="majorBidi" w:hAnsiTheme="majorBidi" w:cstheme="majorBidi"/>
          <w:b/>
          <w:bCs/>
          <w:sz w:val="24"/>
          <w:szCs w:val="24"/>
          <w:rtl/>
        </w:rPr>
        <w:t>اسماعیل نوری علا</w:t>
      </w:r>
    </w:p>
    <w:p w:rsidR="00EE31E9" w:rsidRDefault="00EE31E9" w:rsidP="00DA39BE">
      <w:pPr>
        <w:bidi/>
        <w:spacing w:after="0" w:line="360" w:lineRule="auto"/>
        <w:rPr>
          <w:rFonts w:ascii="Tahoma" w:hAnsi="Tahoma" w:cs="Tahoma" w:hint="cs"/>
          <w:rtl/>
        </w:rPr>
      </w:pPr>
      <w:r>
        <w:rPr>
          <w:rFonts w:ascii="Tahoma" w:hAnsi="Tahoma" w:cs="Tahoma" w:hint="cs"/>
          <w:rtl/>
        </w:rPr>
        <w:tab/>
        <w:t>اینکه شاهنامه فردوسی را می توان نوعی سیاست نامه دانست که با زبان حکایت پردازی به نظریه سازی می پردازد سخن تازه ای نیست اما، در میان همه مطالب شاهنامه که می توان از آنها نظربه های مختلفی را استخراج کرد موضوعی وجود دارد که تنها صد سال است که از لحاظ تاریخ تکامل نظریه پرداری های سیاسی به آن پرداخته شده و عاقبت با عنوان «ترانزیشنالسیم» جرء مهمی از جامعه شناسی سیاسی شده است. من، با توجه به اینکه «ایسم» را بصور</w:t>
      </w:r>
      <w:r w:rsidR="00DA39BE">
        <w:rPr>
          <w:rFonts w:ascii="Tahoma" w:hAnsi="Tahoma" w:cs="Tahoma" w:hint="cs"/>
          <w:rtl/>
        </w:rPr>
        <w:t>ت</w:t>
      </w:r>
      <w:r>
        <w:rPr>
          <w:rFonts w:ascii="Tahoma" w:hAnsi="Tahoma" w:cs="Tahoma" w:hint="cs"/>
          <w:rtl/>
        </w:rPr>
        <w:t xml:space="preserve"> «مداری» (مثلاً در «سیاست مداری») </w:t>
      </w:r>
      <w:r w:rsidR="00DA39BE">
        <w:rPr>
          <w:rFonts w:ascii="Tahoma" w:hAnsi="Tahoma" w:cs="Tahoma" w:hint="cs"/>
          <w:rtl/>
        </w:rPr>
        <w:t>معادل گزاری می کنم، این حوزه از جامعه شناسی سیاسی را هم به فارسی بصورت «گذار مداری» می آورم و در ایم مقاله پس از توصیح مختصری درباره این دانش به این نکته می پردازم که فردوسی در شاهنامه خود همین نظریه مدرن ساسی را بصورت داستانی جذاب پرورانده است.</w:t>
      </w:r>
    </w:p>
    <w:p w:rsidR="00D70A7C" w:rsidRDefault="00DA39BE" w:rsidP="00DA39BE">
      <w:pPr>
        <w:tabs>
          <w:tab w:val="left" w:pos="0"/>
        </w:tabs>
        <w:bidi/>
        <w:spacing w:after="0" w:line="360" w:lineRule="auto"/>
        <w:rPr>
          <w:rFonts w:ascii="Tahoma" w:hAnsi="Tahoma" w:cs="Tahoma" w:hint="cs"/>
          <w:rtl/>
        </w:rPr>
      </w:pPr>
      <w:r>
        <w:rPr>
          <w:rFonts w:ascii="Tahoma" w:hAnsi="Tahoma" w:cs="Tahoma" w:hint="cs"/>
          <w:rtl/>
        </w:rPr>
        <w:tab/>
        <w:t xml:space="preserve">«گذار» </w:t>
      </w:r>
      <w:r w:rsidR="00234252">
        <w:rPr>
          <w:rFonts w:ascii="Tahoma" w:hAnsi="Tahoma" w:cs="Tahoma"/>
          <w:rtl/>
        </w:rPr>
        <w:tab/>
      </w:r>
      <w:r>
        <w:rPr>
          <w:rFonts w:ascii="Tahoma" w:hAnsi="Tahoma" w:cs="Tahoma" w:hint="cs"/>
          <w:rtl/>
        </w:rPr>
        <w:t xml:space="preserve">نام یکی از انواع «تغییر احتماعی» در حوزه جابجائی سیستم های سیاسی است. این جابجائی دارای شکل های متفاوتی است که برخی از آنها برای ما آشنا ترند. مثلاً، وقتی از اصلاحات بنیادی یا انقلاب با دگرگونی ساختاری و سیاسی صحبت می کنیم همه این مفاهیم در ظل مبحث «تغییر اجتماعی» می آیند. «گذار» هم نوعی از تغییرات اجتماعی و سیاسی است که، بر خلاف تصور عمومی، نه ویژگی های روند اصلاحات و دگرگونی های بنیادی را دارد و نه شبیه انقلاب است. </w:t>
      </w:r>
    </w:p>
    <w:p w:rsidR="008E03E8" w:rsidRDefault="008E03E8" w:rsidP="008E03E8">
      <w:pPr>
        <w:pStyle w:val="NormalWeb"/>
        <w:bidi/>
        <w:spacing w:before="0" w:beforeAutospacing="0" w:after="0" w:afterAutospacing="0" w:line="360" w:lineRule="auto"/>
        <w:ind w:firstLine="720"/>
        <w:rPr>
          <w:rFonts w:ascii="Tahoma" w:hAnsi="Tahoma" w:cs="Tahoma"/>
          <w:sz w:val="22"/>
          <w:szCs w:val="22"/>
          <w:rtl/>
        </w:rPr>
      </w:pPr>
      <w:r>
        <w:rPr>
          <w:rFonts w:ascii="Tahoma" w:hAnsi="Tahoma" w:cs="Tahoma" w:hint="cs"/>
          <w:sz w:val="22"/>
          <w:szCs w:val="22"/>
          <w:rtl/>
        </w:rPr>
        <w:t>شاید برای دانشجوی علوم اجتماعی جالب باشد که بداند پس از دوران موسوم به انترنالسیونال دوم، ولادیمیر لنین، رهبر مبارزات انقلابی روسیه، در 1915 (یعنی دو سال قبل از پیروزی روس های سرخ) نخستین کسی بود که در مقاله ای با عنوان «فروپاشی انترناسیونال دوم» (</w:t>
      </w:r>
      <w:r w:rsidRPr="00A33EF2">
        <w:rPr>
          <w:rFonts w:ascii="Tahoma" w:hAnsi="Tahoma" w:cs="Tahoma"/>
          <w:sz w:val="22"/>
          <w:szCs w:val="22"/>
          <w:lang w:bidi="fa-IR"/>
        </w:rPr>
        <w:t>The Collapse of the Second International</w:t>
      </w:r>
      <w:r>
        <w:rPr>
          <w:rFonts w:ascii="Tahoma" w:hAnsi="Tahoma" w:cs="Tahoma" w:hint="cs"/>
          <w:sz w:val="22"/>
          <w:szCs w:val="22"/>
          <w:rtl/>
          <w:lang w:bidi="fa-IR"/>
        </w:rPr>
        <w:t>)،</w:t>
      </w:r>
      <w:r>
        <w:rPr>
          <w:rFonts w:ascii="Tahoma" w:hAnsi="Tahoma" w:cs="Tahoma" w:hint="cs"/>
          <w:sz w:val="22"/>
          <w:szCs w:val="22"/>
          <w:rtl/>
        </w:rPr>
        <w:t xml:space="preserve"> بدون آنکه بداند نکاتی که مطرج می کند در آینده زمینه ای برای اکمال رشته گذارمداری در علوم اجتماعی می شود، پیشنهاد کرد که دوران مبارزه برای سرنگونی یک حکومت را با دوران پس از سرنگونی اش یکی ندانیم بلکه دوران قطعی شدن پیروزی و برآمدن یک نظم سیاسی جدید را «انقلاب» بخوانیم و دوران ماقبل آن را «وضعیت انقلابی» </w:t>
      </w:r>
      <w:r w:rsidRPr="00A33EF2">
        <w:rPr>
          <w:rFonts w:ascii="Tahoma" w:hAnsi="Tahoma" w:cs="Tahoma"/>
          <w:sz w:val="22"/>
          <w:szCs w:val="22"/>
          <w:rtl/>
          <w:lang w:bidi="fa-IR"/>
        </w:rPr>
        <w:t>(</w:t>
      </w:r>
      <w:r w:rsidRPr="00A33EF2">
        <w:rPr>
          <w:rFonts w:ascii="Tahoma" w:hAnsi="Tahoma" w:cs="Tahoma"/>
          <w:sz w:val="22"/>
          <w:szCs w:val="22"/>
          <w:lang w:bidi="fa-IR"/>
        </w:rPr>
        <w:t>revolutionary situation</w:t>
      </w:r>
      <w:r w:rsidRPr="00A33EF2">
        <w:rPr>
          <w:rFonts w:ascii="Tahoma" w:hAnsi="Tahoma" w:cs="Tahoma"/>
          <w:sz w:val="22"/>
          <w:szCs w:val="22"/>
          <w:rtl/>
          <w:lang w:bidi="fa-IR"/>
        </w:rPr>
        <w:t>)</w:t>
      </w:r>
      <w:r>
        <w:rPr>
          <w:rFonts w:ascii="Tahoma" w:hAnsi="Tahoma" w:cs="Tahoma" w:hint="cs"/>
          <w:sz w:val="22"/>
          <w:szCs w:val="22"/>
          <w:rtl/>
        </w:rPr>
        <w:t xml:space="preserve"> ب</w:t>
      </w:r>
      <w:r>
        <w:rPr>
          <w:rFonts w:ascii="Tahoma" w:hAnsi="Tahoma" w:cs="Tahoma" w:hint="cs"/>
          <w:sz w:val="22"/>
          <w:szCs w:val="22"/>
          <w:rtl/>
        </w:rPr>
        <w:t>نام گزاری کنیم و توجه داشته باشب</w:t>
      </w:r>
      <w:r>
        <w:rPr>
          <w:rFonts w:ascii="Tahoma" w:hAnsi="Tahoma" w:cs="Tahoma" w:hint="cs"/>
          <w:sz w:val="22"/>
          <w:szCs w:val="22"/>
          <w:rtl/>
        </w:rPr>
        <w:t xml:space="preserve">م که این «وضعیت» هم می تواند به پیروزی و انقلاب منجر شود و هم در رسیدن به انقلاب ناکام بماند. </w:t>
      </w:r>
    </w:p>
    <w:p w:rsidR="008E03E8" w:rsidRDefault="008E03E8" w:rsidP="008E03E8">
      <w:pPr>
        <w:bidi/>
        <w:spacing w:after="0" w:line="360" w:lineRule="auto"/>
        <w:ind w:firstLine="720"/>
        <w:rPr>
          <w:rFonts w:ascii="Tahoma" w:hAnsi="Tahoma" w:cs="Tahoma" w:hint="cs"/>
          <w:rtl/>
        </w:rPr>
      </w:pPr>
      <w:r>
        <w:rPr>
          <w:rFonts w:ascii="Tahoma" w:hAnsi="Tahoma" w:cs="Tahoma" w:hint="cs"/>
          <w:rtl/>
        </w:rPr>
        <w:t>به نظر می رسد</w:t>
      </w:r>
      <w:r>
        <w:rPr>
          <w:rFonts w:ascii="Tahoma" w:hAnsi="Tahoma" w:cs="Tahoma" w:hint="cs"/>
          <w:rtl/>
        </w:rPr>
        <w:t xml:space="preserve"> که</w:t>
      </w:r>
      <w:r>
        <w:rPr>
          <w:rFonts w:ascii="Tahoma" w:hAnsi="Tahoma" w:cs="Tahoma" w:hint="cs"/>
          <w:rtl/>
        </w:rPr>
        <w:t xml:space="preserve"> </w:t>
      </w:r>
      <w:r>
        <w:rPr>
          <w:rFonts w:ascii="Tahoma" w:hAnsi="Tahoma" w:cs="Tahoma" w:hint="cs"/>
          <w:rtl/>
        </w:rPr>
        <w:t>درپی او</w:t>
      </w:r>
      <w:r>
        <w:rPr>
          <w:rFonts w:ascii="Tahoma" w:hAnsi="Tahoma" w:cs="Tahoma" w:hint="cs"/>
          <w:rtl/>
        </w:rPr>
        <w:t xml:space="preserve"> همه</w:t>
      </w:r>
      <w:r>
        <w:rPr>
          <w:rFonts w:ascii="Tahoma" w:hAnsi="Tahoma" w:cs="Tahoma" w:hint="cs"/>
          <w:rtl/>
        </w:rPr>
        <w:t>ء</w:t>
      </w:r>
      <w:r>
        <w:rPr>
          <w:rFonts w:ascii="Tahoma" w:hAnsi="Tahoma" w:cs="Tahoma" w:hint="cs"/>
          <w:rtl/>
        </w:rPr>
        <w:t xml:space="preserve"> کسانی که در مورد دوران موسوم به «وضعیت انقلابی» تحقیق کرده و مطلب نوشته اند - و از درون آثار آنها است که ادبیات مربوط به رشتهء مطالعهء گذار با نام «ترانزیشنالیسم» یا «گذارمداری» بوجود آمده - چندان از آنچه او می گفت دور نشده باش</w:t>
      </w:r>
      <w:r>
        <w:rPr>
          <w:rFonts w:ascii="Tahoma" w:hAnsi="Tahoma" w:cs="Tahoma" w:hint="cs"/>
          <w:rtl/>
        </w:rPr>
        <w:t>ند.</w:t>
      </w:r>
      <w:r w:rsidRPr="008E03E8">
        <w:rPr>
          <w:rFonts w:ascii="Tahoma" w:hAnsi="Tahoma" w:cs="Tahoma" w:hint="cs"/>
          <w:highlight w:val="yellow"/>
          <w:rtl/>
        </w:rPr>
        <w:t>(1)</w:t>
      </w:r>
    </w:p>
    <w:p w:rsidR="008E03E8" w:rsidRDefault="008E03E8" w:rsidP="008E03E8">
      <w:pPr>
        <w:bidi/>
        <w:spacing w:after="0" w:line="360" w:lineRule="auto"/>
        <w:ind w:firstLine="720"/>
        <w:rPr>
          <w:rFonts w:ascii="Tahoma" w:hAnsi="Tahoma" w:cs="Tahoma" w:hint="cs"/>
          <w:rtl/>
        </w:rPr>
      </w:pPr>
      <w:r>
        <w:rPr>
          <w:rFonts w:ascii="Tahoma" w:hAnsi="Tahoma" w:cs="Tahoma" w:hint="cs"/>
          <w:rtl/>
        </w:rPr>
        <w:t>دو مورد اصلی در</w:t>
      </w:r>
      <w:r>
        <w:rPr>
          <w:rFonts w:ascii="Tahoma" w:hAnsi="Tahoma" w:cs="Tahoma" w:hint="cs"/>
          <w:rtl/>
        </w:rPr>
        <w:t xml:space="preserve"> نظریهء</w:t>
      </w:r>
      <w:r>
        <w:rPr>
          <w:rFonts w:ascii="Tahoma" w:hAnsi="Tahoma" w:cs="Tahoma" w:hint="cs"/>
          <w:rtl/>
        </w:rPr>
        <w:t xml:space="preserve"> </w:t>
      </w:r>
      <w:r>
        <w:rPr>
          <w:rFonts w:ascii="Tahoma" w:hAnsi="Tahoma" w:cs="Tahoma" w:hint="cs"/>
          <w:rtl/>
        </w:rPr>
        <w:t>«</w:t>
      </w:r>
      <w:r>
        <w:rPr>
          <w:rFonts w:ascii="Tahoma" w:hAnsi="Tahoma" w:cs="Tahoma" w:hint="cs"/>
          <w:rtl/>
        </w:rPr>
        <w:t>گذار مداری</w:t>
      </w:r>
      <w:r>
        <w:rPr>
          <w:rFonts w:ascii="Tahoma" w:hAnsi="Tahoma" w:cs="Tahoma" w:hint="cs"/>
          <w:rtl/>
        </w:rPr>
        <w:t xml:space="preserve">» </w:t>
      </w:r>
      <w:r>
        <w:rPr>
          <w:rFonts w:ascii="Tahoma" w:hAnsi="Tahoma" w:cs="Tahoma" w:hint="cs"/>
          <w:rtl/>
        </w:rPr>
        <w:t>عبارتند از</w:t>
      </w:r>
      <w:r>
        <w:rPr>
          <w:rFonts w:ascii="Tahoma" w:hAnsi="Tahoma" w:cs="Tahoma" w:hint="cs"/>
          <w:rtl/>
        </w:rPr>
        <w:t xml:space="preserve"> اینکه:</w:t>
      </w:r>
      <w:r>
        <w:rPr>
          <w:rFonts w:ascii="Tahoma" w:hAnsi="Tahoma" w:cs="Tahoma" w:hint="cs"/>
          <w:rtl/>
        </w:rPr>
        <w:t xml:space="preserve"> </w:t>
      </w:r>
    </w:p>
    <w:p w:rsidR="008E03E8" w:rsidRDefault="008E03E8" w:rsidP="008E03E8">
      <w:pPr>
        <w:bidi/>
        <w:spacing w:after="0" w:line="360" w:lineRule="auto"/>
        <w:ind w:firstLine="720"/>
        <w:rPr>
          <w:rFonts w:ascii="Tahoma" w:hAnsi="Tahoma" w:cs="Tahoma" w:hint="cs"/>
          <w:rtl/>
        </w:rPr>
      </w:pPr>
      <w:r>
        <w:rPr>
          <w:rFonts w:ascii="Tahoma" w:hAnsi="Tahoma" w:cs="Tahoma" w:hint="cs"/>
          <w:rtl/>
        </w:rPr>
        <w:t xml:space="preserve">- </w:t>
      </w:r>
      <w:r>
        <w:rPr>
          <w:rFonts w:ascii="Tahoma" w:hAnsi="Tahoma" w:cs="Tahoma" w:hint="cs"/>
          <w:rtl/>
        </w:rPr>
        <w:t>دوران گذار چگونه آغاز می شود</w:t>
      </w:r>
      <w:r>
        <w:rPr>
          <w:rFonts w:ascii="Tahoma" w:hAnsi="Tahoma" w:cs="Tahoma" w:hint="cs"/>
          <w:rtl/>
        </w:rPr>
        <w:t>؟</w:t>
      </w:r>
      <w:r>
        <w:rPr>
          <w:rFonts w:ascii="Tahoma" w:hAnsi="Tahoma" w:cs="Tahoma" w:hint="cs"/>
          <w:rtl/>
        </w:rPr>
        <w:t xml:space="preserve"> </w:t>
      </w:r>
    </w:p>
    <w:p w:rsidR="008E03E8" w:rsidRDefault="008E03E8" w:rsidP="008E03E8">
      <w:pPr>
        <w:bidi/>
        <w:spacing w:after="0" w:line="360" w:lineRule="auto"/>
        <w:ind w:firstLine="720"/>
        <w:rPr>
          <w:rFonts w:ascii="Tahoma" w:hAnsi="Tahoma" w:cs="Tahoma"/>
          <w:rtl/>
        </w:rPr>
      </w:pPr>
      <w:r>
        <w:rPr>
          <w:rFonts w:ascii="Tahoma" w:hAnsi="Tahoma" w:cs="Tahoma" w:hint="cs"/>
          <w:rtl/>
        </w:rPr>
        <w:t>- شرایط</w:t>
      </w:r>
      <w:r>
        <w:rPr>
          <w:rFonts w:ascii="Tahoma" w:hAnsi="Tahoma" w:cs="Tahoma" w:hint="cs"/>
          <w:rtl/>
        </w:rPr>
        <w:t xml:space="preserve"> درست و کارآمد برای موفقیت گذار کدامند.</w:t>
      </w:r>
    </w:p>
    <w:p w:rsidR="008E03E8" w:rsidRDefault="008E03E8" w:rsidP="008E03E8">
      <w:pPr>
        <w:pStyle w:val="NormalWeb"/>
        <w:bidi/>
        <w:spacing w:before="0" w:beforeAutospacing="0" w:after="0" w:afterAutospacing="0" w:line="360" w:lineRule="auto"/>
        <w:ind w:firstLine="720"/>
        <w:rPr>
          <w:rFonts w:ascii="Tahoma" w:hAnsi="Tahoma" w:cs="Tahoma"/>
          <w:sz w:val="22"/>
          <w:szCs w:val="22"/>
          <w:rtl/>
        </w:rPr>
      </w:pPr>
      <w:r>
        <w:rPr>
          <w:rFonts w:ascii="Tahoma" w:hAnsi="Tahoma" w:cs="Tahoma" w:hint="cs"/>
          <w:sz w:val="22"/>
          <w:szCs w:val="22"/>
          <w:rtl/>
        </w:rPr>
        <w:t xml:space="preserve">و در مورد نخست </w:t>
      </w:r>
      <w:r>
        <w:rPr>
          <w:rFonts w:ascii="Tahoma" w:hAnsi="Tahoma" w:cs="Tahoma" w:hint="cs"/>
          <w:sz w:val="22"/>
          <w:szCs w:val="22"/>
          <w:rtl/>
        </w:rPr>
        <w:t>متفکران این رشته می گویند که دوران گذار با «پدید آمدن همزمانِ» چند پدیدهء اجتماعی شروع شده و ادامه می یابد تا اینکه سرانجام به پیروزی یا شکست برسد:</w:t>
      </w:r>
    </w:p>
    <w:p w:rsidR="008E03E8" w:rsidRPr="008E03E8" w:rsidRDefault="008E03E8" w:rsidP="008E03E8">
      <w:pPr>
        <w:pStyle w:val="NormalWeb"/>
        <w:bidi/>
        <w:spacing w:before="0" w:beforeAutospacing="0" w:after="0" w:afterAutospacing="0" w:line="360" w:lineRule="auto"/>
        <w:ind w:firstLine="720"/>
        <w:rPr>
          <w:rFonts w:ascii="Tahoma" w:hAnsi="Tahoma" w:cs="Tahoma"/>
          <w:sz w:val="22"/>
          <w:szCs w:val="22"/>
          <w:rtl/>
          <w:lang w:bidi="fa-IR"/>
        </w:rPr>
      </w:pPr>
      <w:r w:rsidRPr="008E03E8">
        <w:rPr>
          <w:rStyle w:val="Strong"/>
          <w:rFonts w:ascii="Tahoma" w:hAnsi="Tahoma" w:cs="Tahoma" w:hint="cs"/>
          <w:b w:val="0"/>
          <w:bCs w:val="0"/>
          <w:sz w:val="22"/>
          <w:szCs w:val="22"/>
          <w:rtl/>
        </w:rPr>
        <w:lastRenderedPageBreak/>
        <w:t xml:space="preserve">1. </w:t>
      </w:r>
      <w:r w:rsidRPr="008E03E8">
        <w:rPr>
          <w:rStyle w:val="Strong"/>
          <w:rFonts w:ascii="Tahoma" w:hAnsi="Tahoma" w:cs="Tahoma"/>
          <w:b w:val="0"/>
          <w:bCs w:val="0"/>
          <w:sz w:val="22"/>
          <w:szCs w:val="22"/>
          <w:rtl/>
        </w:rPr>
        <w:t>نپذیرفتن وضعیت موجود از سوی فرودستان</w:t>
      </w:r>
      <w:r w:rsidRPr="008E03E8">
        <w:rPr>
          <w:rFonts w:ascii="Tahoma" w:hAnsi="Tahoma" w:cs="Tahoma"/>
          <w:sz w:val="22"/>
          <w:szCs w:val="22"/>
          <w:rtl/>
        </w:rPr>
        <w:t xml:space="preserve"> (نه فقط</w:t>
      </w:r>
      <w:r w:rsidRPr="008E03E8">
        <w:rPr>
          <w:rFonts w:ascii="Tahoma" w:hAnsi="Tahoma" w:cs="Tahoma"/>
          <w:sz w:val="22"/>
          <w:szCs w:val="22"/>
          <w:rtl/>
          <w:lang w:bidi="fa-IR"/>
        </w:rPr>
        <w:t xml:space="preserve"> بصورت</w:t>
      </w:r>
      <w:r w:rsidRPr="008E03E8">
        <w:rPr>
          <w:rFonts w:ascii="Tahoma" w:hAnsi="Tahoma" w:cs="Tahoma"/>
          <w:sz w:val="22"/>
          <w:szCs w:val="22"/>
          <w:rtl/>
        </w:rPr>
        <w:t xml:space="preserve"> نارضایتی، بلکه به شکل نافرمانی، اعتراض پایدار، و بی‌اعتنایی عملی به قواعد)</w:t>
      </w:r>
      <w:r w:rsidRPr="008E03E8">
        <w:rPr>
          <w:rFonts w:ascii="Tahoma" w:hAnsi="Tahoma" w:cs="Tahoma"/>
          <w:sz w:val="22"/>
          <w:szCs w:val="22"/>
        </w:rPr>
        <w:t>.</w:t>
      </w:r>
    </w:p>
    <w:p w:rsidR="008E03E8" w:rsidRPr="008E03E8" w:rsidRDefault="008E03E8" w:rsidP="008E03E8">
      <w:pPr>
        <w:pStyle w:val="NormalWeb"/>
        <w:bidi/>
        <w:spacing w:before="0" w:beforeAutospacing="0" w:after="0" w:afterAutospacing="0" w:line="360" w:lineRule="auto"/>
        <w:ind w:firstLine="720"/>
        <w:rPr>
          <w:rFonts w:ascii="Tahoma" w:hAnsi="Tahoma" w:cs="Tahoma"/>
          <w:sz w:val="22"/>
          <w:szCs w:val="22"/>
          <w:rtl/>
          <w:lang w:bidi="fa-IR"/>
        </w:rPr>
      </w:pPr>
      <w:r w:rsidRPr="008E03E8">
        <w:rPr>
          <w:rFonts w:ascii="Tahoma" w:hAnsi="Tahoma" w:cs="Tahoma" w:hint="cs"/>
          <w:sz w:val="22"/>
          <w:szCs w:val="22"/>
          <w:rtl/>
          <w:lang w:bidi="fa-IR"/>
        </w:rPr>
        <w:t xml:space="preserve">2. </w:t>
      </w:r>
      <w:r w:rsidRPr="008E03E8">
        <w:rPr>
          <w:rStyle w:val="Strong"/>
          <w:rFonts w:ascii="Tahoma" w:hAnsi="Tahoma" w:cs="Tahoma"/>
          <w:b w:val="0"/>
          <w:bCs w:val="0"/>
          <w:sz w:val="22"/>
          <w:szCs w:val="22"/>
          <w:rtl/>
        </w:rPr>
        <w:t xml:space="preserve">افزایش </w:t>
      </w:r>
      <w:r w:rsidRPr="008E03E8">
        <w:rPr>
          <w:rStyle w:val="Strong"/>
          <w:rFonts w:ascii="Tahoma" w:hAnsi="Tahoma" w:cs="Tahoma" w:hint="cs"/>
          <w:b w:val="0"/>
          <w:bCs w:val="0"/>
          <w:sz w:val="22"/>
          <w:szCs w:val="22"/>
          <w:rtl/>
        </w:rPr>
        <w:t>دائم التزاید</w:t>
      </w:r>
      <w:r w:rsidRPr="008E03E8">
        <w:rPr>
          <w:rStyle w:val="Strong"/>
          <w:rFonts w:ascii="Tahoma" w:hAnsi="Tahoma" w:cs="Tahoma"/>
          <w:b w:val="0"/>
          <w:bCs w:val="0"/>
          <w:sz w:val="22"/>
          <w:szCs w:val="22"/>
          <w:rtl/>
        </w:rPr>
        <w:t xml:space="preserve"> مبارزان </w:t>
      </w:r>
      <w:r w:rsidRPr="008E03E8">
        <w:rPr>
          <w:rFonts w:ascii="Tahoma" w:hAnsi="Tahoma" w:cs="Tahoma"/>
          <w:sz w:val="22"/>
          <w:szCs w:val="22"/>
          <w:rtl/>
        </w:rPr>
        <w:t>(بصورت ورود لایه‌هایی که معمولاً منفعل‌اند به میدان سیاست و بالا گرفتن اعتصاب، شورش، و همچنین خودسازمان‌یابی توده ها).</w:t>
      </w:r>
    </w:p>
    <w:p w:rsidR="008E03E8" w:rsidRDefault="008E03E8" w:rsidP="008E03E8">
      <w:pPr>
        <w:pStyle w:val="NormalWeb"/>
        <w:bidi/>
        <w:spacing w:before="0" w:beforeAutospacing="0" w:after="0" w:afterAutospacing="0" w:line="360" w:lineRule="auto"/>
        <w:ind w:firstLine="720"/>
        <w:rPr>
          <w:rFonts w:ascii="Tahoma" w:hAnsi="Tahoma" w:cs="Tahoma" w:hint="cs"/>
          <w:sz w:val="22"/>
          <w:szCs w:val="22"/>
          <w:rtl/>
        </w:rPr>
      </w:pPr>
      <w:r w:rsidRPr="008E03E8">
        <w:rPr>
          <w:rFonts w:ascii="Tahoma" w:hAnsi="Tahoma" w:cs="Tahoma" w:hint="cs"/>
          <w:sz w:val="22"/>
          <w:szCs w:val="22"/>
          <w:rtl/>
          <w:lang w:bidi="fa-IR"/>
        </w:rPr>
        <w:t xml:space="preserve">3. </w:t>
      </w:r>
      <w:r w:rsidRPr="008E03E8">
        <w:rPr>
          <w:rStyle w:val="Strong"/>
          <w:rFonts w:ascii="Tahoma" w:hAnsi="Tahoma" w:cs="Tahoma"/>
          <w:b w:val="0"/>
          <w:bCs w:val="0"/>
          <w:sz w:val="22"/>
          <w:szCs w:val="22"/>
          <w:rtl/>
        </w:rPr>
        <w:t>و ناتوانی حاکمان در حکمرانی به شیوهٔ سابق</w:t>
      </w:r>
      <w:r w:rsidRPr="008E03E8">
        <w:rPr>
          <w:rFonts w:ascii="Tahoma" w:hAnsi="Tahoma" w:cs="Tahoma"/>
          <w:sz w:val="22"/>
          <w:szCs w:val="22"/>
          <w:rtl/>
        </w:rPr>
        <w:t xml:space="preserve"> (بصورت شکاف در رأس قدرت، پیدایش بحران تصمیم‌گیری، یا از کار افتادن ساز و کارهای معمول کنترل)</w:t>
      </w:r>
      <w:r w:rsidRPr="008E03E8">
        <w:rPr>
          <w:rFonts w:ascii="Tahoma" w:hAnsi="Tahoma" w:cs="Tahoma"/>
          <w:sz w:val="22"/>
          <w:szCs w:val="22"/>
        </w:rPr>
        <w:t>.</w:t>
      </w:r>
    </w:p>
    <w:p w:rsidR="003E79A6" w:rsidRDefault="003E79A6" w:rsidP="003E79A6">
      <w:pPr>
        <w:pStyle w:val="NormalWeb"/>
        <w:bidi/>
        <w:spacing w:before="0" w:beforeAutospacing="0" w:after="0" w:afterAutospacing="0" w:line="360" w:lineRule="auto"/>
        <w:ind w:firstLine="720"/>
        <w:rPr>
          <w:rFonts w:ascii="Tahoma" w:hAnsi="Tahoma" w:cs="Tahoma" w:hint="cs"/>
          <w:sz w:val="22"/>
          <w:szCs w:val="22"/>
          <w:rtl/>
        </w:rPr>
      </w:pPr>
      <w:r>
        <w:rPr>
          <w:rFonts w:ascii="Tahoma" w:hAnsi="Tahoma" w:cs="Tahoma" w:hint="cs"/>
          <w:sz w:val="22"/>
          <w:szCs w:val="22"/>
          <w:rtl/>
        </w:rPr>
        <w:t>4. وجود آلترناتیو یا بدیلی برای حاکمان فعلی.</w:t>
      </w:r>
    </w:p>
    <w:p w:rsidR="008E03E8" w:rsidRDefault="003E79A6" w:rsidP="003E79A6">
      <w:pPr>
        <w:pStyle w:val="NormalWeb"/>
        <w:bidi/>
        <w:spacing w:before="0" w:beforeAutospacing="0" w:after="0" w:afterAutospacing="0" w:line="360" w:lineRule="auto"/>
        <w:ind w:firstLine="720"/>
        <w:rPr>
          <w:rFonts w:ascii="Tahoma" w:hAnsi="Tahoma" w:cs="Tahoma" w:hint="cs"/>
          <w:sz w:val="22"/>
          <w:szCs w:val="22"/>
          <w:rtl/>
        </w:rPr>
      </w:pPr>
      <w:r>
        <w:rPr>
          <w:rFonts w:ascii="Tahoma" w:hAnsi="Tahoma" w:cs="Tahoma" w:hint="cs"/>
          <w:sz w:val="22"/>
          <w:szCs w:val="22"/>
          <w:rtl/>
        </w:rPr>
        <w:t>به نظر من همین مقدار اطلاع در مورد گذار مداری برای نگریستن به آنچه فردوسی بیان می کند کافی است. او، برای بیان این نظریهء سیاسی، از داستان تسلط ضحاک ماردوش بر ایران زمین، و کشته شدن جوانان کشور برای تعذیه مارهای دوش او، کمک می گیرد و داستان اش را، مثل لنین، به دو بخش تقسیم می کند: قبل از پیروزی بر ضحاک و بعد از این پیروزی.</w:t>
      </w:r>
    </w:p>
    <w:p w:rsidR="003E79A6" w:rsidRPr="008E03E8" w:rsidRDefault="003E79A6" w:rsidP="00ED1963">
      <w:pPr>
        <w:pStyle w:val="NormalWeb"/>
        <w:bidi/>
        <w:spacing w:before="0" w:beforeAutospacing="0" w:after="0" w:afterAutospacing="0" w:line="360" w:lineRule="auto"/>
        <w:ind w:firstLine="720"/>
        <w:rPr>
          <w:rFonts w:ascii="Tahoma" w:hAnsi="Tahoma" w:cs="Tahoma"/>
          <w:sz w:val="22"/>
          <w:szCs w:val="22"/>
          <w:rtl/>
          <w:lang w:bidi="fa-IR"/>
        </w:rPr>
      </w:pPr>
      <w:r>
        <w:rPr>
          <w:rFonts w:ascii="Tahoma" w:hAnsi="Tahoma" w:cs="Tahoma" w:hint="cs"/>
          <w:sz w:val="22"/>
          <w:szCs w:val="22"/>
          <w:rtl/>
        </w:rPr>
        <w:t>در بخش اول</w:t>
      </w:r>
      <w:r w:rsidR="00ED1963">
        <w:rPr>
          <w:rFonts w:ascii="Tahoma" w:hAnsi="Tahoma" w:cs="Tahoma" w:hint="cs"/>
          <w:sz w:val="22"/>
          <w:szCs w:val="22"/>
          <w:rtl/>
        </w:rPr>
        <w:t xml:space="preserve"> داستان</w:t>
      </w:r>
      <w:r>
        <w:rPr>
          <w:rFonts w:ascii="Tahoma" w:hAnsi="Tahoma" w:cs="Tahoma" w:hint="cs"/>
          <w:sz w:val="22"/>
          <w:szCs w:val="22"/>
          <w:rtl/>
        </w:rPr>
        <w:t xml:space="preserve"> شخصیت اصلی </w:t>
      </w:r>
      <w:r w:rsidR="00ED1963">
        <w:rPr>
          <w:rFonts w:ascii="Tahoma" w:hAnsi="Tahoma" w:cs="Tahoma" w:hint="cs"/>
          <w:sz w:val="22"/>
          <w:szCs w:val="22"/>
          <w:rtl/>
        </w:rPr>
        <w:t>«</w:t>
      </w:r>
      <w:r>
        <w:rPr>
          <w:rFonts w:ascii="Tahoma" w:hAnsi="Tahoma" w:cs="Tahoma" w:hint="cs"/>
          <w:sz w:val="22"/>
          <w:szCs w:val="22"/>
          <w:rtl/>
        </w:rPr>
        <w:t>کاوه آهنگر</w:t>
      </w:r>
      <w:r w:rsidR="00ED1963">
        <w:rPr>
          <w:rFonts w:ascii="Tahoma" w:hAnsi="Tahoma" w:cs="Tahoma" w:hint="cs"/>
          <w:sz w:val="22"/>
          <w:szCs w:val="22"/>
          <w:rtl/>
        </w:rPr>
        <w:t>»</w:t>
      </w:r>
      <w:r>
        <w:rPr>
          <w:rFonts w:ascii="Tahoma" w:hAnsi="Tahoma" w:cs="Tahoma" w:hint="cs"/>
          <w:sz w:val="22"/>
          <w:szCs w:val="22"/>
          <w:rtl/>
        </w:rPr>
        <w:t xml:space="preserve"> نام دارد که صاحب هیجده پسر جوان است و مآموران ضحاک پسران او، جز آخری، را می کشند تا از مغزشان خوراک مارهای دوش ضحاک تأمین شو</w:t>
      </w:r>
      <w:bookmarkStart w:id="0" w:name="_GoBack"/>
      <w:bookmarkEnd w:id="0"/>
      <w:r>
        <w:rPr>
          <w:rFonts w:ascii="Tahoma" w:hAnsi="Tahoma" w:cs="Tahoma" w:hint="cs"/>
          <w:sz w:val="22"/>
          <w:szCs w:val="22"/>
          <w:rtl/>
        </w:rPr>
        <w:t>د</w:t>
      </w:r>
    </w:p>
    <w:p w:rsidR="008E03E8" w:rsidRPr="00234252" w:rsidRDefault="008E03E8" w:rsidP="008E03E8">
      <w:pPr>
        <w:tabs>
          <w:tab w:val="left" w:pos="0"/>
        </w:tabs>
        <w:bidi/>
        <w:spacing w:after="0" w:line="360" w:lineRule="auto"/>
        <w:rPr>
          <w:rFonts w:ascii="Tahoma" w:hAnsi="Tahoma" w:cs="Tahoma"/>
        </w:rPr>
      </w:pPr>
      <w:r>
        <w:rPr>
          <w:rFonts w:ascii="Tahoma" w:hAnsi="Tahoma" w:cs="Tahoma" w:hint="cs"/>
          <w:rtl/>
        </w:rPr>
        <w:tab/>
      </w:r>
    </w:p>
    <w:sectPr w:rsidR="008E03E8" w:rsidRPr="00234252" w:rsidSect="00234252">
      <w:footerReference w:type="default" r:id="rId8"/>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6BEE" w:rsidRDefault="00406BEE" w:rsidP="00234252">
      <w:pPr>
        <w:spacing w:after="0" w:line="240" w:lineRule="auto"/>
      </w:pPr>
      <w:r>
        <w:separator/>
      </w:r>
    </w:p>
  </w:endnote>
  <w:endnote w:type="continuationSeparator" w:id="0">
    <w:p w:rsidR="00406BEE" w:rsidRDefault="00406BEE" w:rsidP="00234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869011"/>
      <w:docPartObj>
        <w:docPartGallery w:val="Page Numbers (Bottom of Page)"/>
        <w:docPartUnique/>
      </w:docPartObj>
    </w:sdtPr>
    <w:sdtEndPr>
      <w:rPr>
        <w:noProof/>
      </w:rPr>
    </w:sdtEndPr>
    <w:sdtContent>
      <w:p w:rsidR="00234252" w:rsidRDefault="00234252">
        <w:pPr>
          <w:pStyle w:val="Footer"/>
          <w:jc w:val="center"/>
        </w:pPr>
        <w:r>
          <w:fldChar w:fldCharType="begin"/>
        </w:r>
        <w:r>
          <w:instrText xml:space="preserve"> PAGE   \* MERGEFORMAT </w:instrText>
        </w:r>
        <w:r>
          <w:fldChar w:fldCharType="separate"/>
        </w:r>
        <w:r w:rsidR="00406BEE">
          <w:rPr>
            <w:noProof/>
          </w:rPr>
          <w:t>1</w:t>
        </w:r>
        <w:r>
          <w:rPr>
            <w:noProof/>
          </w:rPr>
          <w:fldChar w:fldCharType="end"/>
        </w:r>
      </w:p>
    </w:sdtContent>
  </w:sdt>
  <w:p w:rsidR="00234252" w:rsidRDefault="002342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6BEE" w:rsidRDefault="00406BEE" w:rsidP="00234252">
      <w:pPr>
        <w:spacing w:after="0" w:line="240" w:lineRule="auto"/>
      </w:pPr>
      <w:r>
        <w:separator/>
      </w:r>
    </w:p>
  </w:footnote>
  <w:footnote w:type="continuationSeparator" w:id="0">
    <w:p w:rsidR="00406BEE" w:rsidRDefault="00406BEE" w:rsidP="002342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EA3FC4"/>
    <w:multiLevelType w:val="hybridMultilevel"/>
    <w:tmpl w:val="908499EA"/>
    <w:lvl w:ilvl="0" w:tplc="10B8E2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26"/>
    <w:rsid w:val="00234252"/>
    <w:rsid w:val="003E79A6"/>
    <w:rsid w:val="00406BEE"/>
    <w:rsid w:val="004A1318"/>
    <w:rsid w:val="005A42B8"/>
    <w:rsid w:val="00837739"/>
    <w:rsid w:val="00865426"/>
    <w:rsid w:val="008E03E8"/>
    <w:rsid w:val="00BC286B"/>
    <w:rsid w:val="00DA39BE"/>
    <w:rsid w:val="00ED1963"/>
    <w:rsid w:val="00EE31E9"/>
    <w:rsid w:val="00FB45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paragraph" w:styleId="NormalWeb">
    <w:name w:val="Normal (Web)"/>
    <w:basedOn w:val="Normal"/>
    <w:uiPriority w:val="99"/>
    <w:unhideWhenUsed/>
    <w:rsid w:val="008E03E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E03E8"/>
    <w:rPr>
      <w:b/>
      <w:bCs/>
    </w:rPr>
  </w:style>
  <w:style w:type="paragraph" w:styleId="ListParagraph">
    <w:name w:val="List Paragraph"/>
    <w:basedOn w:val="Normal"/>
    <w:uiPriority w:val="34"/>
    <w:qFormat/>
    <w:rsid w:val="008E03E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paragraph" w:styleId="NormalWeb">
    <w:name w:val="Normal (Web)"/>
    <w:basedOn w:val="Normal"/>
    <w:uiPriority w:val="99"/>
    <w:unhideWhenUsed/>
    <w:rsid w:val="008E03E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E03E8"/>
    <w:rPr>
      <w:b/>
      <w:bCs/>
    </w:rPr>
  </w:style>
  <w:style w:type="paragraph" w:styleId="ListParagraph">
    <w:name w:val="List Paragraph"/>
    <w:basedOn w:val="Normal"/>
    <w:uiPriority w:val="34"/>
    <w:qFormat/>
    <w:rsid w:val="008E03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514</Words>
  <Characters>2934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2026-01-25T01:42:00Z</dcterms:created>
  <dcterms:modified xsi:type="dcterms:W3CDTF">2026-01-25T01:42:00Z</dcterms:modified>
</cp:coreProperties>
</file>