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852" w:rsidRPr="004F3852" w:rsidRDefault="00A30F24" w:rsidP="00270C05">
      <w:pPr>
        <w:bidi/>
        <w:spacing w:after="0" w:line="360" w:lineRule="auto"/>
        <w:jc w:val="center"/>
        <w:rPr>
          <w:rFonts w:asciiTheme="majorBidi" w:hAnsiTheme="majorBidi" w:cstheme="majorBidi" w:hint="cs"/>
          <w:b/>
          <w:bCs/>
          <w:color w:val="632423" w:themeColor="accent2" w:themeShade="80"/>
          <w:sz w:val="36"/>
          <w:szCs w:val="36"/>
          <w:rtl/>
          <w:lang w:bidi="fa-IR"/>
        </w:rPr>
      </w:pPr>
      <w:bookmarkStart w:id="0" w:name="_GoBack"/>
      <w:bookmarkEnd w:id="0"/>
      <w:r>
        <w:rPr>
          <w:rFonts w:asciiTheme="majorBidi" w:hAnsiTheme="majorBidi" w:cstheme="majorBidi" w:hint="cs"/>
          <w:b/>
          <w:bCs/>
          <w:color w:val="632423" w:themeColor="accent2" w:themeShade="80"/>
          <w:sz w:val="36"/>
          <w:szCs w:val="36"/>
          <w:rtl/>
        </w:rPr>
        <w:t xml:space="preserve">پیشنهاد </w:t>
      </w:r>
      <w:r w:rsidR="00FE3152">
        <w:rPr>
          <w:rFonts w:asciiTheme="majorBidi" w:hAnsiTheme="majorBidi" w:cstheme="majorBidi" w:hint="cs"/>
          <w:b/>
          <w:bCs/>
          <w:color w:val="632423" w:themeColor="accent2" w:themeShade="80"/>
          <w:sz w:val="36"/>
          <w:szCs w:val="36"/>
          <w:rtl/>
        </w:rPr>
        <w:t xml:space="preserve">اقدامی </w:t>
      </w:r>
      <w:r w:rsidR="00451269">
        <w:rPr>
          <w:rFonts w:asciiTheme="majorBidi" w:hAnsiTheme="majorBidi" w:cstheme="majorBidi"/>
          <w:b/>
          <w:bCs/>
          <w:color w:val="632423" w:themeColor="accent2" w:themeShade="80"/>
          <w:sz w:val="36"/>
          <w:szCs w:val="36"/>
          <w:rtl/>
        </w:rPr>
        <w:t xml:space="preserve">ساختاری برای </w:t>
      </w:r>
      <w:r w:rsidR="00451269">
        <w:rPr>
          <w:rFonts w:asciiTheme="majorBidi" w:hAnsiTheme="majorBidi" w:cstheme="majorBidi" w:hint="cs"/>
          <w:b/>
          <w:bCs/>
          <w:color w:val="632423" w:themeColor="accent2" w:themeShade="80"/>
          <w:sz w:val="36"/>
          <w:szCs w:val="36"/>
          <w:rtl/>
          <w:lang w:bidi="fa-IR"/>
        </w:rPr>
        <w:t>دوران گذار</w:t>
      </w:r>
    </w:p>
    <w:p w:rsidR="004F3852" w:rsidRPr="004F3852" w:rsidRDefault="004F3852" w:rsidP="00270C05">
      <w:pPr>
        <w:bidi/>
        <w:spacing w:after="0" w:line="360" w:lineRule="auto"/>
        <w:jc w:val="center"/>
        <w:rPr>
          <w:rFonts w:asciiTheme="majorBidi" w:hAnsiTheme="majorBidi" w:cstheme="majorBidi"/>
          <w:b/>
          <w:bCs/>
          <w:sz w:val="24"/>
          <w:szCs w:val="24"/>
          <w:rtl/>
        </w:rPr>
      </w:pPr>
      <w:r w:rsidRPr="004F3852">
        <w:rPr>
          <w:rFonts w:asciiTheme="majorBidi" w:hAnsiTheme="majorBidi" w:cstheme="majorBidi"/>
          <w:b/>
          <w:bCs/>
          <w:sz w:val="24"/>
          <w:szCs w:val="24"/>
          <w:rtl/>
        </w:rPr>
        <w:t>اسماعیل نوری علا</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Tahoma" w:hAnsi="Tahoma" w:cs="Tahoma" w:hint="cs"/>
          <w:sz w:val="22"/>
          <w:szCs w:val="22"/>
          <w:rtl/>
        </w:rPr>
      </w:pPr>
      <w:r w:rsidRPr="00FE3152">
        <w:rPr>
          <w:rFonts w:ascii="Tahoma" w:hAnsi="Tahoma" w:cs="Tahoma"/>
          <w:sz w:val="22"/>
          <w:szCs w:val="22"/>
          <w:rtl/>
        </w:rPr>
        <w:t>پرسش</w:t>
      </w:r>
      <w:r w:rsidRPr="00FE3152">
        <w:rPr>
          <w:rFonts w:ascii="Tahoma" w:hAnsi="Tahoma" w:cs="Tahoma" w:hint="cs"/>
          <w:sz w:val="22"/>
          <w:szCs w:val="22"/>
          <w:rtl/>
        </w:rPr>
        <w:t xml:space="preserve"> قابل دفاع</w:t>
      </w:r>
      <w:r w:rsidRPr="00FE3152">
        <w:rPr>
          <w:rFonts w:ascii="Tahoma" w:hAnsi="Tahoma" w:cs="Tahoma"/>
          <w:sz w:val="22"/>
          <w:szCs w:val="22"/>
          <w:rtl/>
        </w:rPr>
        <w:t>ی که</w:t>
      </w:r>
      <w:r w:rsidRPr="00FE3152">
        <w:rPr>
          <w:rFonts w:ascii="Tahoma" w:hAnsi="Tahoma" w:cs="Tahoma" w:hint="cs"/>
          <w:sz w:val="22"/>
          <w:szCs w:val="22"/>
          <w:rtl/>
        </w:rPr>
        <w:t xml:space="preserve"> می تواند</w:t>
      </w:r>
      <w:r w:rsidRPr="00FE3152">
        <w:rPr>
          <w:rFonts w:ascii="Tahoma" w:hAnsi="Tahoma" w:cs="Tahoma"/>
          <w:sz w:val="22"/>
          <w:szCs w:val="22"/>
          <w:rtl/>
        </w:rPr>
        <w:t xml:space="preserve"> برای پیوستگان به جنبشی که شاهزاده رضا پهلوی رهبر نمادین آن </w:t>
      </w:r>
      <w:r w:rsidRPr="00FE3152">
        <w:rPr>
          <w:rFonts w:ascii="Tahoma" w:hAnsi="Tahoma" w:cs="Tahoma" w:hint="cs"/>
          <w:sz w:val="22"/>
          <w:szCs w:val="22"/>
          <w:rtl/>
        </w:rPr>
        <w:t>است پیش</w:t>
      </w:r>
      <w:r w:rsidRPr="00FE3152">
        <w:rPr>
          <w:rFonts w:ascii="Tahoma" w:hAnsi="Tahoma" w:cs="Tahoma"/>
          <w:sz w:val="22"/>
          <w:szCs w:val="22"/>
          <w:rtl/>
        </w:rPr>
        <w:t xml:space="preserve"> آید آن است که: </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 xml:space="preserve">«براستی آنچه </w:t>
      </w:r>
      <w:r w:rsidRPr="00FE3152">
        <w:rPr>
          <w:rFonts w:ascii="Tahoma" w:hAnsi="Tahoma" w:cs="Tahoma" w:hint="cs"/>
          <w:sz w:val="22"/>
          <w:szCs w:val="22"/>
          <w:rtl/>
        </w:rPr>
        <w:t xml:space="preserve">که </w:t>
      </w:r>
      <w:r w:rsidRPr="00FE3152">
        <w:rPr>
          <w:rFonts w:ascii="Tahoma" w:hAnsi="Tahoma" w:cs="Tahoma"/>
          <w:sz w:val="22"/>
          <w:szCs w:val="22"/>
          <w:rtl/>
        </w:rPr>
        <w:t xml:space="preserve">اکنون “انقلاب شیر و خورشید” نام گرفته، از لحاظ گفتمانی، در جستجوی چیست؟ آیا این چیستی را باید صرفاً در وجود شاهزاده رضا پهلوی جستجو کرد، یا آن را در </w:t>
      </w:r>
      <w:r w:rsidRPr="00FE3152">
        <w:rPr>
          <w:rFonts w:ascii="Tahoma" w:hAnsi="Tahoma" w:cs="Tahoma" w:hint="cs"/>
          <w:sz w:val="22"/>
          <w:szCs w:val="22"/>
          <w:rtl/>
        </w:rPr>
        <w:t>"</w:t>
      </w:r>
      <w:r w:rsidRPr="00FE3152">
        <w:rPr>
          <w:rFonts w:ascii="Tahoma" w:hAnsi="Tahoma" w:cs="Tahoma"/>
          <w:sz w:val="22"/>
          <w:szCs w:val="22"/>
          <w:rtl/>
        </w:rPr>
        <w:t>مجموعه</w:t>
      </w:r>
      <w:r w:rsidRPr="00FE3152">
        <w:rPr>
          <w:rFonts w:ascii="Tahoma" w:hAnsi="Tahoma" w:cs="Tahoma" w:hint="cs"/>
          <w:sz w:val="22"/>
          <w:szCs w:val="22"/>
          <w:rtl/>
        </w:rPr>
        <w:t>"</w:t>
      </w:r>
      <w:r w:rsidRPr="00FE3152">
        <w:rPr>
          <w:rFonts w:ascii="Tahoma" w:hAnsi="Tahoma" w:cs="Tahoma"/>
          <w:sz w:val="22"/>
          <w:szCs w:val="22"/>
          <w:rtl/>
        </w:rPr>
        <w:t xml:space="preserve"> ای وسیع تر دید که از انقلاب مشروطه تا امروز، بصورتی زیگزاگی اما مداوم، </w:t>
      </w:r>
      <w:r w:rsidRPr="00FE3152">
        <w:rPr>
          <w:rFonts w:ascii="Tahoma" w:hAnsi="Tahoma" w:cs="Tahoma" w:hint="cs"/>
          <w:sz w:val="22"/>
          <w:szCs w:val="22"/>
          <w:rtl/>
        </w:rPr>
        <w:t xml:space="preserve">همواره </w:t>
      </w:r>
      <w:r w:rsidRPr="00FE3152">
        <w:rPr>
          <w:rFonts w:ascii="Tahoma" w:hAnsi="Tahoma" w:cs="Tahoma"/>
          <w:sz w:val="22"/>
          <w:szCs w:val="22"/>
          <w:rtl/>
        </w:rPr>
        <w:t>در جامعه</w:t>
      </w:r>
      <w:r w:rsidRPr="00FE3152">
        <w:rPr>
          <w:rFonts w:ascii="Tahoma" w:hAnsi="Tahoma" w:cs="Tahoma" w:hint="cs"/>
          <w:sz w:val="22"/>
          <w:szCs w:val="22"/>
          <w:rtl/>
        </w:rPr>
        <w:t>ء</w:t>
      </w:r>
      <w:r w:rsidRPr="00FE3152">
        <w:rPr>
          <w:rFonts w:ascii="Tahoma" w:hAnsi="Tahoma" w:cs="Tahoma"/>
          <w:sz w:val="22"/>
          <w:szCs w:val="22"/>
          <w:rtl/>
        </w:rPr>
        <w:t xml:space="preserve"> ایران </w:t>
      </w:r>
      <w:r w:rsidRPr="00FE3152">
        <w:rPr>
          <w:rFonts w:ascii="Tahoma" w:hAnsi="Tahoma" w:cs="Tahoma" w:hint="cs"/>
          <w:sz w:val="22"/>
          <w:szCs w:val="22"/>
          <w:rtl/>
        </w:rPr>
        <w:t xml:space="preserve">وجود داشته </w:t>
      </w:r>
      <w:r w:rsidRPr="00FE3152">
        <w:rPr>
          <w:rFonts w:ascii="Tahoma" w:hAnsi="Tahoma" w:cs="Tahoma"/>
          <w:sz w:val="22"/>
          <w:szCs w:val="22"/>
          <w:rtl/>
        </w:rPr>
        <w:t xml:space="preserve">و در </w:t>
      </w:r>
      <w:r w:rsidRPr="00FE3152">
        <w:rPr>
          <w:rFonts w:ascii="Tahoma" w:hAnsi="Tahoma" w:cs="Tahoma" w:hint="cs"/>
          <w:sz w:val="22"/>
          <w:szCs w:val="22"/>
          <w:rtl/>
        </w:rPr>
        <w:t>بخش عمده ای از آن</w:t>
      </w:r>
      <w:r w:rsidRPr="00FE3152">
        <w:rPr>
          <w:rFonts w:ascii="Tahoma" w:hAnsi="Tahoma" w:cs="Tahoma"/>
          <w:sz w:val="22"/>
          <w:szCs w:val="22"/>
          <w:rtl/>
        </w:rPr>
        <w:t xml:space="preserve"> خاندان پهلوی حاملان تاریخی آن بوده اند؟»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Tahoma" w:hAnsi="Tahoma" w:cs="Tahoma" w:hint="cs"/>
          <w:sz w:val="22"/>
          <w:szCs w:val="22"/>
          <w:rtl/>
        </w:rPr>
      </w:pPr>
      <w:r w:rsidRPr="00FE3152">
        <w:rPr>
          <w:rFonts w:ascii="Tahoma" w:hAnsi="Tahoma" w:cs="Tahoma"/>
          <w:sz w:val="22"/>
          <w:szCs w:val="22"/>
          <w:rtl/>
        </w:rPr>
        <w:t>پاسخی که</w:t>
      </w:r>
      <w:r w:rsidRPr="00FE3152">
        <w:rPr>
          <w:rFonts w:ascii="Tahoma" w:hAnsi="Tahoma" w:cs="Tahoma" w:hint="cs"/>
          <w:sz w:val="22"/>
          <w:szCs w:val="22"/>
          <w:rtl/>
        </w:rPr>
        <w:t xml:space="preserve"> از حانب هریک از ما</w:t>
      </w:r>
      <w:r w:rsidRPr="00FE3152">
        <w:rPr>
          <w:rFonts w:ascii="Tahoma" w:hAnsi="Tahoma" w:cs="Tahoma"/>
          <w:sz w:val="22"/>
          <w:szCs w:val="22"/>
          <w:rtl/>
        </w:rPr>
        <w:t xml:space="preserve"> به این پرسش داده </w:t>
      </w:r>
      <w:r w:rsidRPr="00FE3152">
        <w:rPr>
          <w:rFonts w:ascii="Tahoma" w:hAnsi="Tahoma" w:cs="Tahoma" w:hint="cs"/>
          <w:sz w:val="22"/>
          <w:szCs w:val="22"/>
          <w:rtl/>
        </w:rPr>
        <w:t>شده و مورد توافق عام قرار گیرد</w:t>
      </w:r>
      <w:r w:rsidRPr="00FE3152">
        <w:rPr>
          <w:rFonts w:ascii="Tahoma" w:hAnsi="Tahoma" w:cs="Tahoma"/>
          <w:sz w:val="22"/>
          <w:szCs w:val="22"/>
          <w:rtl/>
        </w:rPr>
        <w:t xml:space="preserve"> می تواند در آیندهء اپوزیسیون سکولار دموکرات ایران نقشی تعیین کننده داشته باشد. </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Tahoma" w:hAnsi="Tahoma" w:cs="Tahoma" w:hint="cs"/>
          <w:sz w:val="22"/>
          <w:szCs w:val="22"/>
          <w:rtl/>
        </w:rPr>
      </w:pPr>
      <w:r w:rsidRPr="00FE3152">
        <w:rPr>
          <w:rFonts w:ascii="Tahoma" w:hAnsi="Tahoma" w:cs="Tahoma"/>
          <w:sz w:val="22"/>
          <w:szCs w:val="22"/>
          <w:rtl/>
        </w:rPr>
        <w:t xml:space="preserve">اگر پاسخ ما آن باشد که «تمام معنا و توان این جنبش صرفاً در وجود یک فرد خلاصه می شود»، آنگاه باید بپذیریم که اگر خدای ناکرده روزی شاهزاده رضا پهلوی </w:t>
      </w:r>
      <w:r w:rsidRPr="00FE3152">
        <w:rPr>
          <w:rFonts w:ascii="Tahoma" w:hAnsi="Tahoma" w:cs="Tahoma" w:hint="cs"/>
          <w:sz w:val="22"/>
          <w:szCs w:val="22"/>
          <w:rtl/>
        </w:rPr>
        <w:t>در</w:t>
      </w:r>
      <w:r w:rsidRPr="00FE3152">
        <w:rPr>
          <w:rFonts w:ascii="Tahoma" w:hAnsi="Tahoma" w:cs="Tahoma"/>
          <w:sz w:val="22"/>
          <w:szCs w:val="22"/>
          <w:rtl/>
        </w:rPr>
        <w:t xml:space="preserve"> صحنهء مبارزه </w:t>
      </w:r>
      <w:r w:rsidRPr="00FE3152">
        <w:rPr>
          <w:rFonts w:ascii="Tahoma" w:hAnsi="Tahoma" w:cs="Tahoma" w:hint="cs"/>
          <w:sz w:val="22"/>
          <w:szCs w:val="22"/>
          <w:rtl/>
        </w:rPr>
        <w:t>حضور نداشته</w:t>
      </w:r>
      <w:r w:rsidRPr="00FE3152">
        <w:rPr>
          <w:rFonts w:ascii="Tahoma" w:hAnsi="Tahoma" w:cs="Tahoma"/>
          <w:sz w:val="22"/>
          <w:szCs w:val="22"/>
          <w:rtl/>
        </w:rPr>
        <w:t>، </w:t>
      </w:r>
      <w:r w:rsidRPr="00FE3152">
        <w:rPr>
          <w:rFonts w:ascii="Tahoma" w:hAnsi="Tahoma" w:cs="Tahoma"/>
          <w:sz w:val="22"/>
          <w:szCs w:val="22"/>
          <w:rtl/>
        </w:rPr>
        <w:t xml:space="preserve">و </w:t>
      </w:r>
      <w:r w:rsidRPr="00FE3152">
        <w:rPr>
          <w:rFonts w:ascii="Tahoma" w:hAnsi="Tahoma" w:cs="Tahoma" w:hint="cs"/>
          <w:sz w:val="22"/>
          <w:szCs w:val="22"/>
          <w:rtl/>
        </w:rPr>
        <w:t>ی</w:t>
      </w:r>
      <w:r w:rsidRPr="00FE3152">
        <w:rPr>
          <w:rFonts w:ascii="Tahoma" w:hAnsi="Tahoma" w:cs="Tahoma" w:hint="eastAsia"/>
          <w:sz w:val="22"/>
          <w:szCs w:val="22"/>
          <w:rtl/>
        </w:rPr>
        <w:t>ا</w:t>
      </w:r>
      <w:r w:rsidRPr="00FE3152">
        <w:rPr>
          <w:rFonts w:ascii="Tahoma" w:hAnsi="Tahoma" w:cs="Tahoma"/>
          <w:sz w:val="22"/>
          <w:szCs w:val="22"/>
          <w:rtl/>
        </w:rPr>
        <w:t xml:space="preserve"> به هر دل</w:t>
      </w:r>
      <w:r w:rsidRPr="00FE3152">
        <w:rPr>
          <w:rFonts w:ascii="Tahoma" w:hAnsi="Tahoma" w:cs="Tahoma" w:hint="cs"/>
          <w:sz w:val="22"/>
          <w:szCs w:val="22"/>
          <w:rtl/>
        </w:rPr>
        <w:t>ی</w:t>
      </w:r>
      <w:r w:rsidRPr="00FE3152">
        <w:rPr>
          <w:rFonts w:ascii="Tahoma" w:hAnsi="Tahoma" w:cs="Tahoma" w:hint="eastAsia"/>
          <w:sz w:val="22"/>
          <w:szCs w:val="22"/>
          <w:rtl/>
        </w:rPr>
        <w:t>ل</w:t>
      </w:r>
      <w:r w:rsidRPr="00FE3152">
        <w:rPr>
          <w:rFonts w:ascii="Tahoma" w:hAnsi="Tahoma" w:cs="Tahoma" w:hint="cs"/>
          <w:sz w:val="22"/>
          <w:szCs w:val="22"/>
          <w:rtl/>
        </w:rPr>
        <w:t>ی</w:t>
      </w:r>
      <w:r w:rsidRPr="00FE3152">
        <w:rPr>
          <w:rFonts w:ascii="Tahoma" w:hAnsi="Tahoma" w:cs="Tahoma"/>
          <w:sz w:val="22"/>
          <w:szCs w:val="22"/>
          <w:rtl/>
        </w:rPr>
        <w:t xml:space="preserve"> تصم</w:t>
      </w:r>
      <w:r w:rsidRPr="00FE3152">
        <w:rPr>
          <w:rFonts w:ascii="Tahoma" w:hAnsi="Tahoma" w:cs="Tahoma" w:hint="cs"/>
          <w:sz w:val="22"/>
          <w:szCs w:val="22"/>
          <w:rtl/>
        </w:rPr>
        <w:t>ی</w:t>
      </w:r>
      <w:r w:rsidRPr="00FE3152">
        <w:rPr>
          <w:rFonts w:ascii="Tahoma" w:hAnsi="Tahoma" w:cs="Tahoma" w:hint="eastAsia"/>
          <w:sz w:val="22"/>
          <w:szCs w:val="22"/>
          <w:rtl/>
        </w:rPr>
        <w:t>م</w:t>
      </w:r>
      <w:r w:rsidRPr="00FE3152">
        <w:rPr>
          <w:rFonts w:ascii="Tahoma" w:hAnsi="Tahoma" w:cs="Tahoma"/>
          <w:sz w:val="22"/>
          <w:szCs w:val="22"/>
          <w:rtl/>
        </w:rPr>
        <w:t xml:space="preserve"> بگ</w:t>
      </w:r>
      <w:r w:rsidRPr="00FE3152">
        <w:rPr>
          <w:rFonts w:ascii="Tahoma" w:hAnsi="Tahoma" w:cs="Tahoma" w:hint="cs"/>
          <w:sz w:val="22"/>
          <w:szCs w:val="22"/>
          <w:rtl/>
        </w:rPr>
        <w:t>ی</w:t>
      </w:r>
      <w:r w:rsidRPr="00FE3152">
        <w:rPr>
          <w:rFonts w:ascii="Tahoma" w:hAnsi="Tahoma" w:cs="Tahoma" w:hint="eastAsia"/>
          <w:sz w:val="22"/>
          <w:szCs w:val="22"/>
          <w:rtl/>
        </w:rPr>
        <w:t>رد</w:t>
      </w:r>
      <w:r w:rsidRPr="00FE3152">
        <w:rPr>
          <w:rFonts w:ascii="Tahoma" w:hAnsi="Tahoma" w:cs="Tahoma"/>
          <w:sz w:val="22"/>
          <w:szCs w:val="22"/>
          <w:rtl/>
        </w:rPr>
        <w:t xml:space="preserve"> از فعال</w:t>
      </w:r>
      <w:r w:rsidRPr="00FE3152">
        <w:rPr>
          <w:rFonts w:ascii="Tahoma" w:hAnsi="Tahoma" w:cs="Tahoma" w:hint="cs"/>
          <w:sz w:val="22"/>
          <w:szCs w:val="22"/>
          <w:rtl/>
        </w:rPr>
        <w:t>ی</w:t>
      </w:r>
      <w:r w:rsidRPr="00FE3152">
        <w:rPr>
          <w:rFonts w:ascii="Tahoma" w:hAnsi="Tahoma" w:cs="Tahoma" w:hint="eastAsia"/>
          <w:sz w:val="22"/>
          <w:szCs w:val="22"/>
          <w:rtl/>
        </w:rPr>
        <w:t>ت</w:t>
      </w:r>
      <w:r w:rsidRPr="00FE3152">
        <w:rPr>
          <w:rFonts w:ascii="Tahoma" w:hAnsi="Tahoma" w:cs="Tahoma"/>
          <w:sz w:val="22"/>
          <w:szCs w:val="22"/>
          <w:rtl/>
        </w:rPr>
        <w:t xml:space="preserve"> ها</w:t>
      </w:r>
      <w:r w:rsidRPr="00FE3152">
        <w:rPr>
          <w:rFonts w:ascii="Tahoma" w:hAnsi="Tahoma" w:cs="Tahoma" w:hint="cs"/>
          <w:sz w:val="22"/>
          <w:szCs w:val="22"/>
          <w:rtl/>
        </w:rPr>
        <w:t>ی</w:t>
      </w:r>
      <w:r w:rsidRPr="00FE3152">
        <w:rPr>
          <w:rFonts w:ascii="Tahoma" w:hAnsi="Tahoma" w:cs="Tahoma"/>
          <w:sz w:val="22"/>
          <w:szCs w:val="22"/>
          <w:rtl/>
        </w:rPr>
        <w:t xml:space="preserve"> کنون</w:t>
      </w:r>
      <w:r w:rsidRPr="00FE3152">
        <w:rPr>
          <w:rFonts w:ascii="Tahoma" w:hAnsi="Tahoma" w:cs="Tahoma" w:hint="cs"/>
          <w:sz w:val="22"/>
          <w:szCs w:val="22"/>
          <w:rtl/>
        </w:rPr>
        <w:t>ی</w:t>
      </w:r>
      <w:r w:rsidRPr="00FE3152">
        <w:rPr>
          <w:rFonts w:ascii="Tahoma" w:hAnsi="Tahoma" w:cs="Tahoma"/>
          <w:sz w:val="22"/>
          <w:szCs w:val="22"/>
          <w:rtl/>
        </w:rPr>
        <w:t xml:space="preserve">  کناره گ</w:t>
      </w:r>
      <w:r w:rsidRPr="00FE3152">
        <w:rPr>
          <w:rFonts w:ascii="Tahoma" w:hAnsi="Tahoma" w:cs="Tahoma" w:hint="cs"/>
          <w:sz w:val="22"/>
          <w:szCs w:val="22"/>
          <w:rtl/>
        </w:rPr>
        <w:t>ی</w:t>
      </w:r>
      <w:r w:rsidRPr="00FE3152">
        <w:rPr>
          <w:rFonts w:ascii="Tahoma" w:hAnsi="Tahoma" w:cs="Tahoma" w:hint="eastAsia"/>
          <w:sz w:val="22"/>
          <w:szCs w:val="22"/>
          <w:rtl/>
        </w:rPr>
        <w:t>ر</w:t>
      </w:r>
      <w:r w:rsidRPr="00FE3152">
        <w:rPr>
          <w:rFonts w:ascii="Tahoma" w:hAnsi="Tahoma" w:cs="Tahoma" w:hint="cs"/>
          <w:sz w:val="22"/>
          <w:szCs w:val="22"/>
          <w:rtl/>
        </w:rPr>
        <w:t>ی</w:t>
      </w:r>
      <w:r w:rsidRPr="00FE3152">
        <w:rPr>
          <w:rFonts w:ascii="Tahoma" w:hAnsi="Tahoma" w:cs="Tahoma"/>
          <w:sz w:val="22"/>
          <w:szCs w:val="22"/>
          <w:rtl/>
        </w:rPr>
        <w:t xml:space="preserve"> کند</w:t>
      </w:r>
      <w:r w:rsidRPr="00FE3152">
        <w:rPr>
          <w:rFonts w:ascii="Tahoma" w:hAnsi="Tahoma" w:cs="Tahoma" w:hint="cs"/>
          <w:sz w:val="22"/>
          <w:szCs w:val="22"/>
          <w:rtl/>
        </w:rPr>
        <w:t>،</w:t>
      </w:r>
      <w:r w:rsidRPr="00FE3152">
        <w:rPr>
          <w:rFonts w:ascii="Tahoma" w:hAnsi="Tahoma" w:cs="Tahoma"/>
          <w:sz w:val="22"/>
          <w:szCs w:val="22"/>
          <w:rtl/>
        </w:rPr>
        <w:t xml:space="preserve"> </w:t>
      </w:r>
      <w:r w:rsidRPr="00FE3152">
        <w:rPr>
          <w:rFonts w:ascii="Tahoma" w:hAnsi="Tahoma" w:cs="Tahoma"/>
          <w:sz w:val="22"/>
          <w:szCs w:val="22"/>
          <w:rtl/>
        </w:rPr>
        <w:t xml:space="preserve">کل این جنبش نیز دچار فروپاشی خواهد شد. </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 xml:space="preserve">اما اگر این جنبش متکی بر </w:t>
      </w:r>
      <w:r w:rsidRPr="00FE3152">
        <w:rPr>
          <w:rFonts w:ascii="Tahoma" w:hAnsi="Tahoma" w:cs="Tahoma" w:hint="cs"/>
          <w:sz w:val="22"/>
          <w:szCs w:val="22"/>
          <w:rtl/>
        </w:rPr>
        <w:t>«</w:t>
      </w:r>
      <w:r w:rsidRPr="00FE3152">
        <w:rPr>
          <w:rFonts w:ascii="Tahoma" w:hAnsi="Tahoma" w:cs="Tahoma"/>
          <w:sz w:val="22"/>
          <w:szCs w:val="22"/>
          <w:rtl/>
        </w:rPr>
        <w:t>مجموعه ای نظری، تاریخی و نهادی</w:t>
      </w:r>
      <w:r w:rsidRPr="00FE3152">
        <w:rPr>
          <w:rFonts w:ascii="Tahoma" w:hAnsi="Tahoma" w:cs="Tahoma" w:hint="cs"/>
          <w:sz w:val="22"/>
          <w:szCs w:val="22"/>
          <w:rtl/>
        </w:rPr>
        <w:t>»</w:t>
      </w:r>
      <w:r w:rsidRPr="00FE3152">
        <w:rPr>
          <w:rFonts w:ascii="Tahoma" w:hAnsi="Tahoma" w:cs="Tahoma"/>
          <w:sz w:val="22"/>
          <w:szCs w:val="22"/>
          <w:rtl/>
        </w:rPr>
        <w:t xml:space="preserve"> باشد که از انقلاب مشروطه تا امروز، در مسیر پرفراز و نشیب تاریخ ایران شکل گرفته، آنگاه می توان امیدوار بود که آن </w:t>
      </w:r>
      <w:r w:rsidRPr="00FE3152">
        <w:rPr>
          <w:rFonts w:ascii="Tahoma" w:hAnsi="Tahoma" w:cs="Tahoma" w:hint="cs"/>
          <w:sz w:val="22"/>
          <w:szCs w:val="22"/>
          <w:rtl/>
        </w:rPr>
        <w:t>مجموعه</w:t>
      </w:r>
      <w:r w:rsidRPr="00FE3152">
        <w:rPr>
          <w:rFonts w:ascii="Tahoma" w:hAnsi="Tahoma" w:cs="Tahoma"/>
          <w:sz w:val="22"/>
          <w:szCs w:val="22"/>
          <w:rtl/>
        </w:rPr>
        <w:t xml:space="preserve"> و آن مسیر، حتی در غیاب هر فرد معینی نیز تداوم یابد.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 xml:space="preserve">در این نگاه، اهمیت شاهزاده رضا پهلوی نه صرفاً بعنوان یک فرد، بلکه بعنوان نماد تاریخی و عامل پیوند دهندهء بخش بزرگی از حافظهء سیاسی و مدرن ایران مطرح می شود. به عبارت دیگر، مسئله تنها «شخص» نیست؛ مسئله وجود یک </w:t>
      </w:r>
      <w:r w:rsidRPr="00FE3152">
        <w:rPr>
          <w:rFonts w:ascii="Tahoma" w:hAnsi="Tahoma" w:cs="Tahoma" w:hint="cs"/>
          <w:sz w:val="22"/>
          <w:szCs w:val="22"/>
          <w:rtl/>
        </w:rPr>
        <w:t>«</w:t>
      </w:r>
      <w:r w:rsidRPr="00FE3152">
        <w:rPr>
          <w:rFonts w:ascii="Tahoma" w:hAnsi="Tahoma" w:cs="Tahoma"/>
          <w:sz w:val="22"/>
          <w:szCs w:val="22"/>
          <w:rtl/>
        </w:rPr>
        <w:t>سنت سیاسی</w:t>
      </w:r>
      <w:r w:rsidRPr="00FE3152">
        <w:rPr>
          <w:rFonts w:ascii="Tahoma" w:hAnsi="Tahoma" w:cs="Tahoma" w:hint="cs"/>
          <w:sz w:val="22"/>
          <w:szCs w:val="22"/>
          <w:rtl/>
        </w:rPr>
        <w:t>»</w:t>
      </w:r>
      <w:r w:rsidRPr="00FE3152">
        <w:rPr>
          <w:rFonts w:ascii="Tahoma" w:hAnsi="Tahoma" w:cs="Tahoma"/>
          <w:sz w:val="22"/>
          <w:szCs w:val="22"/>
          <w:rtl/>
        </w:rPr>
        <w:t xml:space="preserve"> است که در مفاهیمی چون سکولاریسم، حکومت قانون، تمامیت ارضی، توسعه گرائی، تجدد، و حق انتخاب ملت ریشه دارد.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در جلسه عمومی مهستان سکولار دموکرات ها در یکشنبه </w:t>
      </w:r>
      <w:r w:rsidRPr="00FE3152">
        <w:rPr>
          <w:rFonts w:ascii="Tahoma" w:hAnsi="Tahoma" w:cs="Tahoma"/>
          <w:sz w:val="22"/>
          <w:szCs w:val="22"/>
          <w:rtl/>
          <w:lang w:bidi="fa-IR"/>
        </w:rPr>
        <w:t>۱۳</w:t>
      </w:r>
      <w:r w:rsidRPr="00FE3152">
        <w:rPr>
          <w:rFonts w:ascii="Tahoma" w:hAnsi="Tahoma" w:cs="Tahoma"/>
          <w:sz w:val="22"/>
          <w:szCs w:val="22"/>
          <w:rtl/>
        </w:rPr>
        <w:t> اردیبهشت </w:t>
      </w:r>
      <w:r w:rsidRPr="00FE3152">
        <w:rPr>
          <w:rFonts w:ascii="Tahoma" w:hAnsi="Tahoma" w:cs="Tahoma"/>
          <w:sz w:val="22"/>
          <w:szCs w:val="22"/>
          <w:rtl/>
          <w:lang w:bidi="fa-IR"/>
        </w:rPr>
        <w:t>۱۴۰۵</w:t>
      </w:r>
      <w:r w:rsidRPr="00FE3152">
        <w:rPr>
          <w:rFonts w:ascii="Tahoma" w:hAnsi="Tahoma" w:cs="Tahoma"/>
          <w:sz w:val="22"/>
          <w:szCs w:val="22"/>
          <w:rtl/>
        </w:rPr>
        <w:t>،</w:t>
      </w:r>
      <w:r w:rsidRPr="00FE3152">
        <w:rPr>
          <w:rFonts w:ascii="Tahoma" w:hAnsi="Tahoma" w:cs="Tahoma" w:hint="cs"/>
          <w:sz w:val="22"/>
          <w:szCs w:val="22"/>
          <w:rtl/>
        </w:rPr>
        <w:t xml:space="preserve"> </w:t>
      </w:r>
      <w:r w:rsidRPr="00FE3152">
        <w:rPr>
          <w:rFonts w:ascii="Tahoma" w:hAnsi="Tahoma" w:cs="Tahoma"/>
          <w:sz w:val="22"/>
          <w:szCs w:val="22"/>
          <w:rtl/>
        </w:rPr>
        <w:t xml:space="preserve"> </w:t>
      </w:r>
      <w:r w:rsidRPr="00FE3152">
        <w:rPr>
          <w:rFonts w:ascii="Tahoma" w:hAnsi="Tahoma" w:cs="Tahoma"/>
          <w:sz w:val="22"/>
          <w:szCs w:val="22"/>
          <w:rtl/>
        </w:rPr>
        <w:t xml:space="preserve">یکی از همراهان </w:t>
      </w:r>
      <w:r w:rsidRPr="00FE3152">
        <w:rPr>
          <w:rFonts w:ascii="Tahoma" w:hAnsi="Tahoma" w:cs="Tahoma" w:hint="cs"/>
          <w:sz w:val="22"/>
          <w:szCs w:val="22"/>
          <w:rtl/>
        </w:rPr>
        <w:t>مهستان</w:t>
      </w:r>
      <w:r w:rsidRPr="00FE3152">
        <w:rPr>
          <w:rFonts w:ascii="Tahoma" w:hAnsi="Tahoma" w:cs="Tahoma"/>
          <w:sz w:val="22"/>
          <w:szCs w:val="22"/>
          <w:rtl/>
        </w:rPr>
        <w:t>، از استانبول، پرسشی را مطرح کرد که بازتاب نگرانی بسیاری از هواداران</w:t>
      </w:r>
      <w:r w:rsidR="00FE3152" w:rsidRPr="00FE3152">
        <w:rPr>
          <w:rFonts w:ascii="Tahoma" w:hAnsi="Tahoma" w:cs="Tahoma" w:hint="cs"/>
          <w:sz w:val="22"/>
          <w:szCs w:val="22"/>
          <w:rtl/>
        </w:rPr>
        <w:t xml:space="preserve"> شاهزاده و سکولار دموکراسی</w:t>
      </w:r>
      <w:r w:rsidRPr="00FE3152">
        <w:rPr>
          <w:rFonts w:ascii="Tahoma" w:hAnsi="Tahoma" w:cs="Tahoma"/>
          <w:sz w:val="22"/>
          <w:szCs w:val="22"/>
          <w:rtl/>
        </w:rPr>
        <w:t xml:space="preserve"> بود. او پرسید: «اگر در حادثه برلین آسیبی متوجه شاهزاده می شد، تکلیف امیدهای ما چه می شد؟»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این پرسش، صرفاً احساسی نبود؛ بلکه به یکی از بنیادی ترین مسائل جامعه شناسی سیاسی مربوط می شد: «بحران جانشینی».</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 xml:space="preserve">در همهء نظام های سیاسی، از سلطنتی تا جمهوری، مسئلهء تداوم رهبری اهمیت حیاتی دارد. ساختاری که با حذف یک فرد فرو بپاشد، هر اندازه هم محبوب باشد، هنوز به مرحلهء </w:t>
      </w:r>
      <w:r w:rsidR="00FE3152" w:rsidRPr="00FE3152">
        <w:rPr>
          <w:rFonts w:ascii="Tahoma" w:hAnsi="Tahoma" w:cs="Tahoma" w:hint="cs"/>
          <w:sz w:val="22"/>
          <w:szCs w:val="22"/>
          <w:rtl/>
        </w:rPr>
        <w:t>داشتن ن</w:t>
      </w:r>
      <w:r w:rsidRPr="00FE3152">
        <w:rPr>
          <w:rFonts w:ascii="Tahoma" w:hAnsi="Tahoma" w:cs="Tahoma"/>
          <w:sz w:val="22"/>
          <w:szCs w:val="22"/>
          <w:rtl/>
        </w:rPr>
        <w:t>هاد سیاسی پایدار نرسیده است. در نتیجه، مهمترین نشانهء بلوغ یک جنبش سیاسی آن است که بتواند از «فرد» عبور کرده و به «نهاد» برسد.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در نظام های سلطنتی کلاسیک، راه حل این مشکل در قالب وجود «ولیعهد» شکل گرفته بود. فلسفهء وجود ولیعهد آن بود که خلاء قدرت ایجاد نشود و جامعه بداند که در صورت حذف سلطان، تداوم قدرت چگونه تضمین می گردد. اما اهمیت این موضوع محدود به سلطنت نیست. هر تشکل سیاسی مدرن، اگر بخواهد پایدار بماند، باید برای بحران جانشینی چاره ای اندیشیده باشد.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این موضوع در مورد اپوزیسیون اهمیتی دو</w:t>
      </w:r>
      <w:r w:rsidR="00FE3152" w:rsidRPr="00FE3152">
        <w:rPr>
          <w:rFonts w:ascii="Tahoma" w:hAnsi="Tahoma" w:cs="Tahoma" w:hint="cs"/>
          <w:sz w:val="22"/>
          <w:szCs w:val="22"/>
          <w:rtl/>
        </w:rPr>
        <w:t xml:space="preserve"> </w:t>
      </w:r>
      <w:r w:rsidRPr="00FE3152">
        <w:rPr>
          <w:rFonts w:ascii="Tahoma" w:hAnsi="Tahoma" w:cs="Tahoma"/>
          <w:sz w:val="22"/>
          <w:szCs w:val="22"/>
          <w:rtl/>
        </w:rPr>
        <w:t>چندان پیدا می کند. زیرا اپوزیسیون، برخلاف حکومت، فاقد بوروکراسی، منابع حکومتی، و ابزارهای تثبیت قدرت است و بیش از هر چیز بر اعتماد و انسجام تکیه دارد. از این رو، حذف ناگهانی رهبر می تواند کل ساختار را فلج کند.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lastRenderedPageBreak/>
        <w:t>اپوزیسیون های جدی جهان معمولاً از پیش این فرض را می پذیرند که رهبران شان ممکن است هر لحظه حذف</w:t>
      </w:r>
      <w:r w:rsidRPr="00FE3152">
        <w:rPr>
          <w:rFonts w:ascii="Tahoma" w:hAnsi="Tahoma" w:cs="Tahoma"/>
          <w:sz w:val="22"/>
          <w:szCs w:val="22"/>
        </w:rPr>
        <w:t> </w:t>
      </w:r>
      <w:r w:rsidR="00FE3152" w:rsidRPr="00FE3152">
        <w:rPr>
          <w:rFonts w:ascii="Tahoma" w:hAnsi="Tahoma" w:cs="Tahoma" w:hint="cs"/>
          <w:sz w:val="22"/>
          <w:szCs w:val="22"/>
          <w:rtl/>
        </w:rPr>
        <w:t>شده و</w:t>
      </w:r>
      <w:r w:rsidRPr="00FE3152">
        <w:rPr>
          <w:rFonts w:ascii="Tahoma" w:hAnsi="Tahoma" w:cs="Tahoma"/>
          <w:sz w:val="22"/>
          <w:szCs w:val="22"/>
          <w:rtl/>
        </w:rPr>
        <w:t> </w:t>
      </w:r>
      <w:r w:rsidR="00FE3152" w:rsidRPr="00FE3152">
        <w:rPr>
          <w:rFonts w:ascii="Tahoma" w:hAnsi="Tahoma" w:cs="Tahoma" w:hint="cs"/>
          <w:sz w:val="22"/>
          <w:szCs w:val="22"/>
          <w:rtl/>
        </w:rPr>
        <w:t>ی</w:t>
      </w:r>
      <w:r w:rsidR="00FE3152" w:rsidRPr="00FE3152">
        <w:rPr>
          <w:rFonts w:ascii="Tahoma" w:hAnsi="Tahoma" w:cs="Tahoma" w:hint="eastAsia"/>
          <w:sz w:val="22"/>
          <w:szCs w:val="22"/>
          <w:rtl/>
        </w:rPr>
        <w:t>ا</w:t>
      </w:r>
      <w:r w:rsidR="00FE3152" w:rsidRPr="00FE3152">
        <w:rPr>
          <w:rFonts w:ascii="Tahoma" w:hAnsi="Tahoma" w:cs="Tahoma"/>
          <w:sz w:val="22"/>
          <w:szCs w:val="22"/>
          <w:rtl/>
        </w:rPr>
        <w:t xml:space="preserve"> کناره گ</w:t>
      </w:r>
      <w:r w:rsidR="00FE3152" w:rsidRPr="00FE3152">
        <w:rPr>
          <w:rFonts w:ascii="Tahoma" w:hAnsi="Tahoma" w:cs="Tahoma" w:hint="cs"/>
          <w:sz w:val="22"/>
          <w:szCs w:val="22"/>
          <w:rtl/>
        </w:rPr>
        <w:t>ی</w:t>
      </w:r>
      <w:r w:rsidR="00FE3152" w:rsidRPr="00FE3152">
        <w:rPr>
          <w:rFonts w:ascii="Tahoma" w:hAnsi="Tahoma" w:cs="Tahoma" w:hint="eastAsia"/>
          <w:sz w:val="22"/>
          <w:szCs w:val="22"/>
          <w:rtl/>
        </w:rPr>
        <w:t>ر</w:t>
      </w:r>
      <w:r w:rsidR="00FE3152" w:rsidRPr="00FE3152">
        <w:rPr>
          <w:rFonts w:ascii="Tahoma" w:hAnsi="Tahoma" w:cs="Tahoma" w:hint="cs"/>
          <w:sz w:val="22"/>
          <w:szCs w:val="22"/>
          <w:rtl/>
        </w:rPr>
        <w:t>ی</w:t>
      </w:r>
      <w:r w:rsidR="00FE3152" w:rsidRPr="00FE3152">
        <w:rPr>
          <w:rFonts w:ascii="Tahoma" w:hAnsi="Tahoma" w:cs="Tahoma"/>
          <w:sz w:val="22"/>
          <w:szCs w:val="22"/>
          <w:rtl/>
        </w:rPr>
        <w:t xml:space="preserve"> کنند</w:t>
      </w:r>
      <w:r w:rsidRPr="00FE3152">
        <w:rPr>
          <w:rFonts w:ascii="Tahoma" w:hAnsi="Tahoma" w:cs="Tahoma"/>
          <w:sz w:val="22"/>
          <w:szCs w:val="22"/>
          <w:rtl/>
        </w:rPr>
        <w:t>. به همین دلیل، نه تنها برای جانشینی، بلکه برای تداوم رهبری، سازوکار نهادی طراحی می کنند. این سازوکار می تواند بصورت جانشینی فردی، رهبری شورائی، یا ترکیبی از هر دو شکل بگیرد.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در اینجا است که مسئلهء «حرکت از فرد به نهاد» اهمیت پیدا می کند.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به نظر من، اکنون زمان آن رسیده است که اپوزیسیون سکولار دموکرات ایران نیز وارد مرحلهء نهادسازی شود. وجود یک شورای انتقالی، یک منشور روشن، یک ساختار اجرائی مشخص، و زنجیره ای تعریف شده برای تداوم رهبری، می تواند بسیاری از نگرانی های امروز را برطرف سازد.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 xml:space="preserve">اما این نهادسازی نباید به معنای قطع رابطهء </w:t>
      </w:r>
      <w:r w:rsidR="00FE3152" w:rsidRPr="00FE3152">
        <w:rPr>
          <w:rFonts w:ascii="Tahoma" w:hAnsi="Tahoma" w:cs="Tahoma" w:hint="cs"/>
          <w:sz w:val="22"/>
          <w:szCs w:val="22"/>
          <w:rtl/>
        </w:rPr>
        <w:t>ارگانیک</w:t>
      </w:r>
      <w:r w:rsidRPr="00FE3152">
        <w:rPr>
          <w:rFonts w:ascii="Tahoma" w:hAnsi="Tahoma" w:cs="Tahoma"/>
          <w:sz w:val="22"/>
          <w:szCs w:val="22"/>
          <w:rtl/>
        </w:rPr>
        <w:t xml:space="preserve"> جنبش با خاندان پهلوی تلقی شود. بخش بزرگی از نیروهای حامی این جنبش، پیوند عاطفی، تاریخی و سیاسی عمیقی با نام پهلوی دارند و نادیده گرفتن این واقعیت، نه ممکن است و نه عاقلانه. از این رو، می توان میان «نهادسازی مدرن» و «استمرار نمادین» تلفیقی منطقی برقرار کرد.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 xml:space="preserve">در چنین الگویی، شورای انتقالی می تواند نهادی مدرن و تصمیم گیر باشد، اما ریاست نمادین آن همچنان با شاهزاده رضا پهلوی باقی بماند. </w:t>
      </w:r>
      <w:r w:rsidR="00FE3152" w:rsidRPr="00FE3152">
        <w:rPr>
          <w:rFonts w:ascii="Tahoma" w:hAnsi="Tahoma" w:cs="Tahoma" w:hint="cs"/>
          <w:sz w:val="22"/>
          <w:szCs w:val="22"/>
          <w:rtl/>
        </w:rPr>
        <w:t>حتی</w:t>
      </w:r>
      <w:r w:rsidRPr="00FE3152">
        <w:rPr>
          <w:rFonts w:ascii="Tahoma" w:hAnsi="Tahoma" w:cs="Tahoma"/>
          <w:sz w:val="22"/>
          <w:szCs w:val="22"/>
          <w:rtl/>
        </w:rPr>
        <w:t xml:space="preserve"> حضور خانم نور پهلوی</w:t>
      </w:r>
      <w:r w:rsidR="00FE3152" w:rsidRPr="00FE3152">
        <w:rPr>
          <w:rFonts w:ascii="Tahoma" w:hAnsi="Tahoma" w:cs="Tahoma" w:hint="cs"/>
          <w:sz w:val="22"/>
          <w:szCs w:val="22"/>
          <w:rtl/>
        </w:rPr>
        <w:t>،</w:t>
      </w:r>
      <w:r w:rsidRPr="00FE3152">
        <w:rPr>
          <w:rFonts w:ascii="Tahoma" w:hAnsi="Tahoma" w:cs="Tahoma"/>
          <w:sz w:val="22"/>
          <w:szCs w:val="22"/>
          <w:rtl/>
        </w:rPr>
        <w:t xml:space="preserve"> بعنوان معاون شورا یا جانشین احتمالی، می تواند برای بخش بزرگی از هواداران خاندان پهلوی اطمینان خاطر و احساس استمرار تاریخی ایجاد کند، بی آنکه اصل مشروعیت سیاسی صرفاً بر مبنای نسبت خانوادگی تعریف شود.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در چنین حالتی، مشروعیت نه از «خون»، بلکه از ترکیب سه عامل حاصل می شود:</w:t>
      </w:r>
      <w:r w:rsidR="00FE3152" w:rsidRPr="00FE3152">
        <w:rPr>
          <w:rFonts w:ascii="Calibri" w:hAnsi="Calibri" w:cs="Calibri" w:hint="cs"/>
          <w:sz w:val="22"/>
          <w:szCs w:val="22"/>
          <w:rtl/>
        </w:rPr>
        <w:t xml:space="preserve"> </w:t>
      </w:r>
      <w:r w:rsidRPr="00FE3152">
        <w:rPr>
          <w:rFonts w:ascii="Tahoma" w:hAnsi="Tahoma" w:cs="Tahoma"/>
          <w:sz w:val="22"/>
          <w:szCs w:val="22"/>
          <w:rtl/>
        </w:rPr>
        <w:t>پذیرش عمومی،</w:t>
      </w:r>
      <w:r w:rsidR="00FE3152" w:rsidRPr="00FE3152">
        <w:rPr>
          <w:rFonts w:ascii="Calibri" w:hAnsi="Calibri" w:cs="Calibri" w:hint="cs"/>
          <w:sz w:val="22"/>
          <w:szCs w:val="22"/>
          <w:rtl/>
        </w:rPr>
        <w:t xml:space="preserve"> </w:t>
      </w:r>
      <w:r w:rsidRPr="00FE3152">
        <w:rPr>
          <w:rFonts w:ascii="Tahoma" w:hAnsi="Tahoma" w:cs="Tahoma"/>
          <w:sz w:val="22"/>
          <w:szCs w:val="22"/>
          <w:rtl/>
        </w:rPr>
        <w:t>نقش نمادین تاریخی،</w:t>
      </w:r>
      <w:r w:rsidR="00FE3152" w:rsidRPr="00FE3152">
        <w:rPr>
          <w:rFonts w:ascii="Calibri" w:hAnsi="Calibri" w:cs="Calibri" w:hint="cs"/>
          <w:sz w:val="22"/>
          <w:szCs w:val="22"/>
          <w:rtl/>
        </w:rPr>
        <w:t xml:space="preserve"> </w:t>
      </w:r>
      <w:r w:rsidRPr="00FE3152">
        <w:rPr>
          <w:rFonts w:ascii="Tahoma" w:hAnsi="Tahoma" w:cs="Tahoma"/>
          <w:sz w:val="22"/>
          <w:szCs w:val="22"/>
          <w:rtl/>
        </w:rPr>
        <w:t>و تأیید نهادی درون ساختار شورا.</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به این ترتیب، جانشینی نیز از حالت سنتی و صرفاً موروثی خارج شده و در قالب یک ساختار مدرن و قابل نظارت تعریف می گردد.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در همین راستا، می توان مجموعهء نظری این جریان را نوعی «مشروطه خواهی</w:t>
      </w:r>
      <w:r w:rsidR="00FE3152" w:rsidRPr="00FE3152">
        <w:rPr>
          <w:rFonts w:ascii="Tahoma" w:hAnsi="Tahoma" w:cs="Tahoma" w:hint="cs"/>
          <w:sz w:val="22"/>
          <w:szCs w:val="22"/>
          <w:rtl/>
        </w:rPr>
        <w:t xml:space="preserve"> پهلوی نشان</w:t>
      </w:r>
      <w:r w:rsidR="00FE3152" w:rsidRPr="00FE3152">
        <w:rPr>
          <w:rFonts w:ascii="Tahoma" w:hAnsi="Tahoma" w:cs="Tahoma"/>
          <w:sz w:val="22"/>
          <w:szCs w:val="22"/>
          <w:rtl/>
        </w:rPr>
        <w:t xml:space="preserve"> سکولار</w:t>
      </w:r>
      <w:r w:rsidRPr="00FE3152">
        <w:rPr>
          <w:rFonts w:ascii="Tahoma" w:hAnsi="Tahoma" w:cs="Tahoma"/>
          <w:sz w:val="22"/>
          <w:szCs w:val="22"/>
          <w:rtl/>
        </w:rPr>
        <w:t>» دانست؛ جریانی که بر آزادی های فردی، سکولاریسم، حکومت قانون، انتخابات آزاد، تکثرگرائی، و حق حاکمیت ملت تأکید دارد، اما در عین حال نقش تاریخی خاندان پهلوی را نیز بعنوان یک حامل مهم این سنت مدرن ایرانی به رسمیت می شناسد.</w:t>
      </w:r>
    </w:p>
    <w:p w:rsidR="00451269" w:rsidRPr="00FE3152" w:rsidRDefault="00FE3152"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hint="cs"/>
          <w:sz w:val="22"/>
          <w:szCs w:val="22"/>
          <w:rtl/>
        </w:rPr>
        <w:t>دراین قلمرو حتی</w:t>
      </w:r>
      <w:r w:rsidR="00451269" w:rsidRPr="00FE3152">
        <w:rPr>
          <w:rFonts w:ascii="Tahoma" w:hAnsi="Tahoma" w:cs="Tahoma"/>
          <w:sz w:val="22"/>
          <w:szCs w:val="22"/>
          <w:rtl/>
        </w:rPr>
        <w:t xml:space="preserve"> </w:t>
      </w:r>
      <w:r w:rsidRPr="00FE3152">
        <w:rPr>
          <w:rFonts w:ascii="Tahoma" w:hAnsi="Tahoma" w:cs="Tahoma" w:hint="cs"/>
          <w:sz w:val="22"/>
          <w:szCs w:val="22"/>
          <w:rtl/>
        </w:rPr>
        <w:t>اگر</w:t>
      </w:r>
      <w:r w:rsidR="00451269" w:rsidRPr="00FE3152">
        <w:rPr>
          <w:rFonts w:ascii="Tahoma" w:hAnsi="Tahoma" w:cs="Tahoma"/>
          <w:sz w:val="22"/>
          <w:szCs w:val="22"/>
          <w:rtl/>
        </w:rPr>
        <w:t xml:space="preserve"> واژهء «پهلوی</w:t>
      </w:r>
      <w:r w:rsidRPr="00FE3152">
        <w:rPr>
          <w:rFonts w:ascii="Tahoma" w:hAnsi="Tahoma" w:cs="Tahoma"/>
          <w:sz w:val="22"/>
          <w:szCs w:val="22"/>
          <w:rtl/>
        </w:rPr>
        <w:t xml:space="preserve">سم» بکار رود، باید مقصود از آن </w:t>
      </w:r>
      <w:r w:rsidRPr="00FE3152">
        <w:rPr>
          <w:rFonts w:ascii="Tahoma" w:hAnsi="Tahoma" w:cs="Tahoma" w:hint="cs"/>
          <w:sz w:val="22"/>
          <w:szCs w:val="22"/>
          <w:rtl/>
        </w:rPr>
        <w:t>صرفاً</w:t>
      </w:r>
      <w:r w:rsidR="00451269" w:rsidRPr="00FE3152">
        <w:rPr>
          <w:rFonts w:ascii="Tahoma" w:hAnsi="Tahoma" w:cs="Tahoma"/>
          <w:sz w:val="22"/>
          <w:szCs w:val="22"/>
          <w:rtl/>
        </w:rPr>
        <w:t xml:space="preserve"> اشاره به نوعی سنت نوسازی، دولت مدرن، سکولاریسم، توسعه گرائی، و حفظ وحدت ملی باشد؛ سنتی که طبعاً باید با ارزش های دموکراتیک امروز نیز سازگار گردد.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در این الگو، شورای انتقالی وظیفه خواهد داشت</w:t>
      </w:r>
      <w:r w:rsidR="00FE3152" w:rsidRPr="00FE3152">
        <w:rPr>
          <w:rFonts w:ascii="Tahoma" w:hAnsi="Tahoma" w:cs="Tahoma" w:hint="cs"/>
          <w:sz w:val="22"/>
          <w:szCs w:val="22"/>
          <w:rtl/>
        </w:rPr>
        <w:t xml:space="preserve"> که:</w:t>
      </w:r>
    </w:p>
    <w:p w:rsidR="00451269" w:rsidRPr="00FE3152" w:rsidRDefault="00451269" w:rsidP="00270C05">
      <w:pPr>
        <w:pStyle w:val="yiv2281889144msonormal"/>
        <w:numPr>
          <w:ilvl w:val="0"/>
          <w:numId w:val="6"/>
        </w:numPr>
        <w:shd w:val="clear" w:color="auto" w:fill="FFFFFF"/>
        <w:bidi/>
        <w:spacing w:before="0" w:beforeAutospacing="0" w:after="0" w:afterAutospacing="0" w:line="330" w:lineRule="atLeast"/>
        <w:ind w:left="0"/>
        <w:rPr>
          <w:rFonts w:ascii="Calibri" w:hAnsi="Calibri" w:cs="Calibri"/>
          <w:sz w:val="22"/>
          <w:szCs w:val="22"/>
          <w:rtl/>
        </w:rPr>
      </w:pPr>
      <w:r w:rsidRPr="00FE3152">
        <w:rPr>
          <w:rFonts w:ascii="Tahoma" w:hAnsi="Tahoma" w:cs="Tahoma"/>
          <w:sz w:val="22"/>
          <w:szCs w:val="22"/>
          <w:rtl/>
        </w:rPr>
        <w:t>دولت موقت دوران گذار را تعیین کند،</w:t>
      </w:r>
    </w:p>
    <w:p w:rsidR="00451269" w:rsidRPr="00FE3152" w:rsidRDefault="00451269" w:rsidP="00270C05">
      <w:pPr>
        <w:pStyle w:val="yiv2281889144msonormal"/>
        <w:numPr>
          <w:ilvl w:val="0"/>
          <w:numId w:val="6"/>
        </w:numPr>
        <w:shd w:val="clear" w:color="auto" w:fill="FFFFFF"/>
        <w:bidi/>
        <w:spacing w:before="0" w:beforeAutospacing="0" w:after="0" w:afterAutospacing="0" w:line="330" w:lineRule="atLeast"/>
        <w:ind w:left="0"/>
        <w:rPr>
          <w:rFonts w:ascii="Calibri" w:hAnsi="Calibri" w:cs="Calibri"/>
          <w:sz w:val="22"/>
          <w:szCs w:val="22"/>
          <w:rtl/>
        </w:rPr>
      </w:pPr>
      <w:r w:rsidRPr="00FE3152">
        <w:rPr>
          <w:rFonts w:ascii="Tahoma" w:hAnsi="Tahoma" w:cs="Tahoma"/>
          <w:sz w:val="22"/>
          <w:szCs w:val="22"/>
          <w:rtl/>
        </w:rPr>
        <w:t>منشور سکولار دموکراتیک دوران انتقال را تدوین نماید،</w:t>
      </w:r>
    </w:p>
    <w:p w:rsidR="00451269" w:rsidRPr="00FE3152" w:rsidRDefault="00451269" w:rsidP="00270C05">
      <w:pPr>
        <w:pStyle w:val="yiv2281889144msonormal"/>
        <w:numPr>
          <w:ilvl w:val="0"/>
          <w:numId w:val="6"/>
        </w:numPr>
        <w:shd w:val="clear" w:color="auto" w:fill="FFFFFF"/>
        <w:bidi/>
        <w:spacing w:before="0" w:beforeAutospacing="0" w:after="0" w:afterAutospacing="0" w:line="330" w:lineRule="atLeast"/>
        <w:ind w:left="0"/>
        <w:rPr>
          <w:rFonts w:ascii="Calibri" w:hAnsi="Calibri" w:cs="Calibri"/>
          <w:sz w:val="22"/>
          <w:szCs w:val="22"/>
          <w:rtl/>
        </w:rPr>
      </w:pPr>
      <w:r w:rsidRPr="00FE3152">
        <w:rPr>
          <w:rFonts w:ascii="Tahoma" w:hAnsi="Tahoma" w:cs="Tahoma"/>
          <w:sz w:val="22"/>
          <w:szCs w:val="22"/>
          <w:rtl/>
        </w:rPr>
        <w:t>و شرایط رسیدن ملت ایران به انتخابات آزاد برای تعیین نظام آینده را فراهم آورد.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بدین ترتیب، هم استمرار نمادین حفظ می شود، هم نهادسازی صورت می گیرد، و هم اپوزیسیون از وضعیت شکنندهء وابستگی مطلق به یک فرد خارج می گردد.</w:t>
      </w:r>
    </w:p>
    <w:p w:rsidR="00451269" w:rsidRPr="00FE3152" w:rsidRDefault="00451269" w:rsidP="00270C05">
      <w:pPr>
        <w:pStyle w:val="yiv2281889144msonormal"/>
        <w:shd w:val="clear" w:color="auto" w:fill="FFFFFF"/>
        <w:bidi/>
        <w:spacing w:before="0" w:beforeAutospacing="0" w:after="0" w:afterAutospacing="0" w:line="330" w:lineRule="atLeast"/>
        <w:ind w:firstLine="720"/>
        <w:rPr>
          <w:rFonts w:ascii="Calibri" w:hAnsi="Calibri" w:cs="Calibri"/>
          <w:sz w:val="22"/>
          <w:szCs w:val="22"/>
          <w:rtl/>
        </w:rPr>
      </w:pPr>
      <w:r w:rsidRPr="00FE3152">
        <w:rPr>
          <w:rFonts w:ascii="Tahoma" w:hAnsi="Tahoma" w:cs="Tahoma"/>
          <w:sz w:val="22"/>
          <w:szCs w:val="22"/>
          <w:rtl/>
        </w:rPr>
        <w:t>اگر قرار باشد مبارزه برای استقرار یک نظام سکولار دموکرات در ایران تداوم یابد، چاره آن است که از هم اکنون، به همت خود شاهزاده رضا پهلوی، گذار از «رهبری فردی» به «رهبری نهادی» آغاز شود؛ گذاری که در آن، هم پیام حفظ گردد و هم پیام آور، دیگر تنها ضامن بقای آن پیام نباشد.</w:t>
      </w:r>
    </w:p>
    <w:p w:rsidR="00451269" w:rsidRDefault="00451269" w:rsidP="00270C05">
      <w:pPr>
        <w:rPr>
          <w:rFonts w:ascii="Tahoma" w:hAnsi="Tahoma" w:cs="Tahoma"/>
          <w:rtl/>
        </w:rPr>
      </w:pPr>
    </w:p>
    <w:sectPr w:rsidR="00451269" w:rsidSect="00234252">
      <w:footerReference w:type="default" r:id="rId8"/>
      <w:pgSz w:w="12240" w:h="15840"/>
      <w:pgMar w:top="99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2E50" w:rsidRDefault="00972E50" w:rsidP="00234252">
      <w:pPr>
        <w:spacing w:after="0" w:line="240" w:lineRule="auto"/>
      </w:pPr>
      <w:r>
        <w:separator/>
      </w:r>
    </w:p>
  </w:endnote>
  <w:endnote w:type="continuationSeparator" w:id="0">
    <w:p w:rsidR="00972E50" w:rsidRDefault="00972E50" w:rsidP="002342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5869011"/>
      <w:docPartObj>
        <w:docPartGallery w:val="Page Numbers (Bottom of Page)"/>
        <w:docPartUnique/>
      </w:docPartObj>
    </w:sdtPr>
    <w:sdtEndPr>
      <w:rPr>
        <w:noProof/>
      </w:rPr>
    </w:sdtEndPr>
    <w:sdtContent>
      <w:p w:rsidR="00234252" w:rsidRDefault="00234252">
        <w:pPr>
          <w:pStyle w:val="Footer"/>
          <w:jc w:val="center"/>
        </w:pPr>
        <w:r>
          <w:fldChar w:fldCharType="begin"/>
        </w:r>
        <w:r>
          <w:instrText xml:space="preserve"> PAGE   \* MERGEFORMAT </w:instrText>
        </w:r>
        <w:r>
          <w:fldChar w:fldCharType="separate"/>
        </w:r>
        <w:r w:rsidR="00972E50">
          <w:rPr>
            <w:noProof/>
          </w:rPr>
          <w:t>1</w:t>
        </w:r>
        <w:r>
          <w:rPr>
            <w:noProof/>
          </w:rPr>
          <w:fldChar w:fldCharType="end"/>
        </w:r>
      </w:p>
    </w:sdtContent>
  </w:sdt>
  <w:p w:rsidR="00234252" w:rsidRDefault="00234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2E50" w:rsidRDefault="00972E50" w:rsidP="00234252">
      <w:pPr>
        <w:spacing w:after="0" w:line="240" w:lineRule="auto"/>
      </w:pPr>
      <w:r>
        <w:separator/>
      </w:r>
    </w:p>
  </w:footnote>
  <w:footnote w:type="continuationSeparator" w:id="0">
    <w:p w:rsidR="00972E50" w:rsidRDefault="00972E50" w:rsidP="002342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5050D7"/>
    <w:multiLevelType w:val="multilevel"/>
    <w:tmpl w:val="3DAEC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934221A"/>
    <w:multiLevelType w:val="hybridMultilevel"/>
    <w:tmpl w:val="B790C614"/>
    <w:lvl w:ilvl="0" w:tplc="FCB43716">
      <w:numFmt w:val="bullet"/>
      <w:lvlText w:val="-"/>
      <w:lvlJc w:val="left"/>
      <w:pPr>
        <w:ind w:left="1080" w:hanging="360"/>
      </w:pPr>
      <w:rPr>
        <w:rFonts w:ascii="Tahoma" w:eastAsia="Times New Roman"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5B3D01E1"/>
    <w:multiLevelType w:val="multilevel"/>
    <w:tmpl w:val="99409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2966339"/>
    <w:multiLevelType w:val="multilevel"/>
    <w:tmpl w:val="96083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BE4482B"/>
    <w:multiLevelType w:val="hybridMultilevel"/>
    <w:tmpl w:val="D89A07D6"/>
    <w:lvl w:ilvl="0" w:tplc="4636D340">
      <w:numFmt w:val="bullet"/>
      <w:lvlText w:val="-"/>
      <w:lvlJc w:val="left"/>
      <w:pPr>
        <w:ind w:left="1080" w:hanging="360"/>
      </w:pPr>
      <w:rPr>
        <w:rFonts w:ascii="Tahoma" w:eastAsiaTheme="minorHAnsi" w:hAnsi="Tahoma" w:cs="Tahom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B9F4829"/>
    <w:multiLevelType w:val="multilevel"/>
    <w:tmpl w:val="033A4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5426"/>
    <w:rsid w:val="000E2229"/>
    <w:rsid w:val="000E6AC0"/>
    <w:rsid w:val="0010463A"/>
    <w:rsid w:val="00220888"/>
    <w:rsid w:val="00234252"/>
    <w:rsid w:val="0024739B"/>
    <w:rsid w:val="00263097"/>
    <w:rsid w:val="00270C05"/>
    <w:rsid w:val="002A608C"/>
    <w:rsid w:val="002E0611"/>
    <w:rsid w:val="002E6EA9"/>
    <w:rsid w:val="0034600D"/>
    <w:rsid w:val="003C3707"/>
    <w:rsid w:val="003E646E"/>
    <w:rsid w:val="00412A18"/>
    <w:rsid w:val="00425A37"/>
    <w:rsid w:val="00451269"/>
    <w:rsid w:val="0046754E"/>
    <w:rsid w:val="004F3852"/>
    <w:rsid w:val="00500EED"/>
    <w:rsid w:val="005A42B8"/>
    <w:rsid w:val="006313CE"/>
    <w:rsid w:val="0064050D"/>
    <w:rsid w:val="00712C2D"/>
    <w:rsid w:val="00724502"/>
    <w:rsid w:val="00747E05"/>
    <w:rsid w:val="00837739"/>
    <w:rsid w:val="00850C04"/>
    <w:rsid w:val="00865426"/>
    <w:rsid w:val="00972E50"/>
    <w:rsid w:val="00A10D80"/>
    <w:rsid w:val="00A30F24"/>
    <w:rsid w:val="00A441B4"/>
    <w:rsid w:val="00A500F7"/>
    <w:rsid w:val="00A763A1"/>
    <w:rsid w:val="00B33786"/>
    <w:rsid w:val="00B460C4"/>
    <w:rsid w:val="00B76206"/>
    <w:rsid w:val="00C9483A"/>
    <w:rsid w:val="00ED25BB"/>
    <w:rsid w:val="00F5092B"/>
    <w:rsid w:val="00F744C9"/>
    <w:rsid w:val="00FB4553"/>
    <w:rsid w:val="00FE3152"/>
    <w:rsid w:val="00FE772F"/>
    <w:rsid w:val="00FF36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ListParagraph">
    <w:name w:val="List Paragraph"/>
    <w:basedOn w:val="Normal"/>
    <w:uiPriority w:val="34"/>
    <w:qFormat/>
    <w:rsid w:val="004F3852"/>
    <w:pPr>
      <w:ind w:left="720"/>
      <w:contextualSpacing/>
    </w:pPr>
  </w:style>
  <w:style w:type="paragraph" w:customStyle="1" w:styleId="yiv2281889144msonormal">
    <w:name w:val="yiv2281889144msonormal"/>
    <w:basedOn w:val="Normal"/>
    <w:rsid w:val="0045126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A500F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A500F7"/>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500F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4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4252"/>
  </w:style>
  <w:style w:type="paragraph" w:styleId="Footer">
    <w:name w:val="footer"/>
    <w:basedOn w:val="Normal"/>
    <w:link w:val="FooterChar"/>
    <w:uiPriority w:val="99"/>
    <w:unhideWhenUsed/>
    <w:rsid w:val="00234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4252"/>
  </w:style>
  <w:style w:type="character" w:customStyle="1" w:styleId="Heading1Char">
    <w:name w:val="Heading 1 Char"/>
    <w:basedOn w:val="DefaultParagraphFont"/>
    <w:link w:val="Heading1"/>
    <w:uiPriority w:val="9"/>
    <w:rsid w:val="00A500F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A500F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500F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500F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A500F7"/>
  </w:style>
  <w:style w:type="character" w:styleId="Emphasis">
    <w:name w:val="Emphasis"/>
    <w:basedOn w:val="DefaultParagraphFont"/>
    <w:uiPriority w:val="20"/>
    <w:qFormat/>
    <w:rsid w:val="00A500F7"/>
    <w:rPr>
      <w:i/>
      <w:iCs/>
    </w:rPr>
  </w:style>
  <w:style w:type="character" w:styleId="Strong">
    <w:name w:val="Strong"/>
    <w:basedOn w:val="DefaultParagraphFont"/>
    <w:uiPriority w:val="22"/>
    <w:qFormat/>
    <w:rsid w:val="00A500F7"/>
    <w:rPr>
      <w:b/>
      <w:bCs/>
    </w:rPr>
  </w:style>
  <w:style w:type="character" w:styleId="Hyperlink">
    <w:name w:val="Hyperlink"/>
    <w:basedOn w:val="DefaultParagraphFont"/>
    <w:uiPriority w:val="99"/>
    <w:unhideWhenUsed/>
    <w:rsid w:val="0010463A"/>
    <w:rPr>
      <w:color w:val="0000FF" w:themeColor="hyperlink"/>
      <w:u w:val="single"/>
    </w:rPr>
  </w:style>
  <w:style w:type="paragraph" w:styleId="ListParagraph">
    <w:name w:val="List Paragraph"/>
    <w:basedOn w:val="Normal"/>
    <w:uiPriority w:val="34"/>
    <w:qFormat/>
    <w:rsid w:val="004F3852"/>
    <w:pPr>
      <w:ind w:left="720"/>
      <w:contextualSpacing/>
    </w:pPr>
  </w:style>
  <w:style w:type="paragraph" w:customStyle="1" w:styleId="yiv2281889144msonormal">
    <w:name w:val="yiv2281889144msonormal"/>
    <w:basedOn w:val="Normal"/>
    <w:rsid w:val="0045126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661963">
      <w:bodyDiv w:val="1"/>
      <w:marLeft w:val="0"/>
      <w:marRight w:val="0"/>
      <w:marTop w:val="0"/>
      <w:marBottom w:val="0"/>
      <w:divBdr>
        <w:top w:val="none" w:sz="0" w:space="0" w:color="auto"/>
        <w:left w:val="none" w:sz="0" w:space="0" w:color="auto"/>
        <w:bottom w:val="none" w:sz="0" w:space="0" w:color="auto"/>
        <w:right w:val="none" w:sz="0" w:space="0" w:color="auto"/>
      </w:divBdr>
    </w:div>
    <w:div w:id="1573395803">
      <w:bodyDiv w:val="1"/>
      <w:marLeft w:val="0"/>
      <w:marRight w:val="0"/>
      <w:marTop w:val="0"/>
      <w:marBottom w:val="0"/>
      <w:divBdr>
        <w:top w:val="none" w:sz="0" w:space="0" w:color="auto"/>
        <w:left w:val="none" w:sz="0" w:space="0" w:color="auto"/>
        <w:bottom w:val="none" w:sz="0" w:space="0" w:color="auto"/>
        <w:right w:val="none" w:sz="0" w:space="0" w:color="auto"/>
      </w:divBdr>
    </w:div>
    <w:div w:id="1613979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2</Pages>
  <Words>808</Words>
  <Characters>4607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3</cp:revision>
  <dcterms:created xsi:type="dcterms:W3CDTF">2026-05-07T20:41:00Z</dcterms:created>
  <dcterms:modified xsi:type="dcterms:W3CDTF">2026-05-07T20:57:00Z</dcterms:modified>
</cp:coreProperties>
</file>